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6E30B">
      <w:pPr>
        <w:spacing w:line="284" w:lineRule="auto"/>
      </w:pPr>
      <w:r>
        <w:rPr>
          <w:rFonts w:hint="eastAsia"/>
          <w:spacing w:val="-4"/>
          <w:sz w:val="48"/>
          <w:szCs w:val="48"/>
          <w:lang w:eastAsia="zh-CN"/>
        </w:rPr>
        <w:t xml:space="preserve"> </w:t>
      </w:r>
    </w:p>
    <w:p w14:paraId="38D95D90">
      <w:pPr>
        <w:spacing w:line="250" w:lineRule="auto"/>
      </w:pPr>
    </w:p>
    <w:p w14:paraId="2386F344">
      <w:pPr>
        <w:spacing w:line="251" w:lineRule="auto"/>
      </w:pPr>
    </w:p>
    <w:p w14:paraId="73830C2D">
      <w:pPr>
        <w:spacing w:line="251" w:lineRule="auto"/>
      </w:pPr>
    </w:p>
    <w:p w14:paraId="2BF88EFA">
      <w:pPr>
        <w:pStyle w:val="3"/>
        <w:spacing w:before="206" w:line="328" w:lineRule="auto"/>
        <w:ind w:right="671"/>
        <w:jc w:val="center"/>
        <w:outlineLvl w:val="0"/>
        <w:rPr>
          <w:rFonts w:hint="default"/>
          <w:spacing w:val="-4"/>
          <w:sz w:val="48"/>
          <w:szCs w:val="48"/>
          <w:lang w:val="en-US" w:eastAsia="zh-CN"/>
        </w:rPr>
      </w:pPr>
      <w:r>
        <w:rPr>
          <w:rFonts w:hint="eastAsia"/>
          <w:spacing w:val="-4"/>
          <w:sz w:val="48"/>
          <w:szCs w:val="48"/>
          <w:lang w:eastAsia="zh-CN"/>
        </w:rPr>
        <w:t xml:space="preserve">  </w:t>
      </w:r>
      <w:r>
        <w:rPr>
          <w:rFonts w:hint="eastAsia"/>
          <w:spacing w:val="-4"/>
          <w:sz w:val="32"/>
          <w:szCs w:val="32"/>
          <w:lang w:eastAsia="zh-CN"/>
        </w:rPr>
        <w:t xml:space="preserve"> </w:t>
      </w:r>
      <w:bookmarkStart w:id="0" w:name="_Toc27894"/>
      <w:bookmarkStart w:id="1" w:name="_Toc29346"/>
      <w:r>
        <w:rPr>
          <w:rFonts w:hint="eastAsia"/>
          <w:spacing w:val="-4"/>
          <w:sz w:val="32"/>
          <w:szCs w:val="32"/>
          <w:lang w:eastAsia="zh-CN"/>
        </w:rPr>
        <w:t>2024年江苏省南通市</w:t>
      </w:r>
      <w:r>
        <w:rPr>
          <w:rFonts w:hint="eastAsia"/>
          <w:spacing w:val="-4"/>
          <w:sz w:val="32"/>
          <w:szCs w:val="32"/>
          <w:lang w:val="en-US" w:eastAsia="zh-CN"/>
        </w:rPr>
        <w:t>海安市职业技能系列赛</w:t>
      </w:r>
      <w:bookmarkEnd w:id="0"/>
      <w:bookmarkEnd w:id="1"/>
    </w:p>
    <w:p w14:paraId="45EF120D">
      <w:pPr>
        <w:pStyle w:val="3"/>
        <w:spacing w:before="206" w:line="328" w:lineRule="auto"/>
        <w:ind w:right="671"/>
        <w:jc w:val="center"/>
        <w:outlineLvl w:val="0"/>
        <w:rPr>
          <w:spacing w:val="-4"/>
          <w:sz w:val="48"/>
          <w:szCs w:val="48"/>
          <w:lang w:eastAsia="zh-CN"/>
        </w:rPr>
      </w:pPr>
      <w:r>
        <w:rPr>
          <w:rFonts w:hint="eastAsia"/>
          <w:spacing w:val="-4"/>
          <w:sz w:val="48"/>
          <w:szCs w:val="48"/>
          <w:lang w:eastAsia="zh-CN"/>
        </w:rPr>
        <w:t xml:space="preserve">   </w:t>
      </w:r>
      <w:bookmarkStart w:id="2" w:name="_Toc18706"/>
      <w:bookmarkStart w:id="3" w:name="_Toc14333"/>
      <w:r>
        <w:rPr>
          <w:rFonts w:hint="eastAsia"/>
          <w:spacing w:val="-4"/>
          <w:sz w:val="48"/>
          <w:szCs w:val="48"/>
          <w:lang w:val="en-US" w:eastAsia="zh-CN"/>
        </w:rPr>
        <w:t>电工</w:t>
      </w:r>
      <w:r>
        <w:rPr>
          <w:rFonts w:hint="eastAsia"/>
          <w:spacing w:val="-4"/>
          <w:sz w:val="48"/>
          <w:szCs w:val="48"/>
          <w:lang w:eastAsia="zh-CN"/>
        </w:rPr>
        <w:t>项目</w:t>
      </w:r>
      <w:bookmarkEnd w:id="2"/>
      <w:bookmarkEnd w:id="3"/>
    </w:p>
    <w:p w14:paraId="7BA310D6">
      <w:pPr>
        <w:spacing w:line="258" w:lineRule="auto"/>
        <w:rPr>
          <w:lang w:eastAsia="zh-CN"/>
        </w:rPr>
      </w:pPr>
    </w:p>
    <w:p w14:paraId="7125FB2D">
      <w:pPr>
        <w:spacing w:line="258" w:lineRule="auto"/>
        <w:ind w:left="210" w:leftChars="100"/>
        <w:rPr>
          <w:lang w:eastAsia="zh-CN"/>
        </w:rPr>
      </w:pPr>
    </w:p>
    <w:p w14:paraId="6D142F56">
      <w:pPr>
        <w:spacing w:line="258" w:lineRule="auto"/>
        <w:rPr>
          <w:lang w:eastAsia="zh-CN"/>
        </w:rPr>
      </w:pPr>
    </w:p>
    <w:p w14:paraId="464C2C0B">
      <w:pPr>
        <w:spacing w:line="258" w:lineRule="auto"/>
        <w:rPr>
          <w:lang w:eastAsia="zh-CN"/>
        </w:rPr>
      </w:pPr>
    </w:p>
    <w:p w14:paraId="45B057EC">
      <w:pPr>
        <w:spacing w:line="259" w:lineRule="auto"/>
        <w:rPr>
          <w:lang w:eastAsia="zh-CN"/>
        </w:rPr>
      </w:pPr>
    </w:p>
    <w:p w14:paraId="3FCD1237">
      <w:pPr>
        <w:spacing w:line="259" w:lineRule="auto"/>
        <w:rPr>
          <w:lang w:eastAsia="zh-CN"/>
        </w:rPr>
      </w:pPr>
    </w:p>
    <w:p w14:paraId="5587BA7A">
      <w:pPr>
        <w:spacing w:before="156" w:line="222" w:lineRule="auto"/>
        <w:ind w:left="3485"/>
        <w:outlineLvl w:val="0"/>
        <w:rPr>
          <w:rFonts w:ascii="黑体" w:hAnsi="黑体" w:eastAsia="黑体" w:cs="黑体"/>
          <w:sz w:val="48"/>
          <w:szCs w:val="48"/>
          <w:lang w:eastAsia="zh-CN"/>
        </w:rPr>
      </w:pPr>
      <w:bookmarkStart w:id="4" w:name="_Toc17838"/>
      <w:bookmarkStart w:id="5" w:name="_Toc30549"/>
      <w:r>
        <w:rPr>
          <w:rFonts w:ascii="黑体" w:hAnsi="黑体" w:eastAsia="黑体" w:cs="黑体"/>
          <w:spacing w:val="-4"/>
          <w:sz w:val="48"/>
          <w:szCs w:val="48"/>
          <w:lang w:eastAsia="zh-CN"/>
        </w:rPr>
        <w:t>技术文件</w:t>
      </w:r>
      <w:bookmarkEnd w:id="4"/>
      <w:bookmarkEnd w:id="5"/>
    </w:p>
    <w:p w14:paraId="641E5273">
      <w:pPr>
        <w:spacing w:line="253" w:lineRule="auto"/>
        <w:rPr>
          <w:lang w:eastAsia="zh-CN"/>
        </w:rPr>
      </w:pPr>
    </w:p>
    <w:p w14:paraId="7B2EDBFC">
      <w:pPr>
        <w:spacing w:line="253" w:lineRule="auto"/>
        <w:rPr>
          <w:lang w:eastAsia="zh-CN"/>
        </w:rPr>
      </w:pPr>
    </w:p>
    <w:p w14:paraId="411744DB">
      <w:pPr>
        <w:spacing w:line="254" w:lineRule="auto"/>
        <w:rPr>
          <w:lang w:eastAsia="zh-CN"/>
        </w:rPr>
      </w:pPr>
    </w:p>
    <w:p w14:paraId="477EE9C6">
      <w:pPr>
        <w:spacing w:line="254" w:lineRule="auto"/>
        <w:rPr>
          <w:lang w:eastAsia="zh-CN"/>
        </w:rPr>
      </w:pPr>
    </w:p>
    <w:p w14:paraId="696B471B">
      <w:pPr>
        <w:spacing w:line="254" w:lineRule="auto"/>
        <w:rPr>
          <w:lang w:eastAsia="zh-CN"/>
        </w:rPr>
      </w:pPr>
    </w:p>
    <w:p w14:paraId="0CEA4992">
      <w:pPr>
        <w:spacing w:line="254" w:lineRule="auto"/>
        <w:rPr>
          <w:lang w:eastAsia="zh-CN"/>
        </w:rPr>
      </w:pPr>
    </w:p>
    <w:p w14:paraId="67B003A9">
      <w:pPr>
        <w:spacing w:line="254" w:lineRule="auto"/>
        <w:rPr>
          <w:lang w:eastAsia="zh-CN"/>
        </w:rPr>
      </w:pPr>
    </w:p>
    <w:p w14:paraId="0840D847">
      <w:pPr>
        <w:spacing w:line="254" w:lineRule="auto"/>
        <w:rPr>
          <w:lang w:eastAsia="zh-CN"/>
        </w:rPr>
      </w:pPr>
    </w:p>
    <w:p w14:paraId="3A53E7C1">
      <w:pPr>
        <w:spacing w:line="254" w:lineRule="auto"/>
        <w:rPr>
          <w:lang w:eastAsia="zh-CN"/>
        </w:rPr>
      </w:pPr>
    </w:p>
    <w:p w14:paraId="24C89E64">
      <w:pPr>
        <w:spacing w:line="254" w:lineRule="auto"/>
        <w:rPr>
          <w:lang w:eastAsia="zh-CN"/>
        </w:rPr>
      </w:pPr>
    </w:p>
    <w:p w14:paraId="1104B570">
      <w:pPr>
        <w:spacing w:line="254" w:lineRule="auto"/>
        <w:rPr>
          <w:lang w:eastAsia="zh-CN"/>
        </w:rPr>
      </w:pPr>
    </w:p>
    <w:p w14:paraId="74763362">
      <w:pPr>
        <w:spacing w:line="254" w:lineRule="auto"/>
        <w:rPr>
          <w:sz w:val="32"/>
          <w:szCs w:val="32"/>
          <w:lang w:eastAsia="zh-CN"/>
        </w:rPr>
      </w:pPr>
    </w:p>
    <w:p w14:paraId="28992D30">
      <w:pPr>
        <w:spacing w:before="217" w:line="348" w:lineRule="auto"/>
        <w:ind w:left="3" w:firstLine="2134" w:firstLineChars="684"/>
        <w:rPr>
          <w:rFonts w:hint="default" w:ascii="仿宋" w:hAnsi="仿宋" w:eastAsia="仿宋" w:cs="仿宋"/>
          <w:spacing w:val="-4"/>
          <w:sz w:val="32"/>
          <w:szCs w:val="32"/>
          <w:lang w:val="en-US" w:eastAsia="zh-CN"/>
        </w:rPr>
      </w:pPr>
      <w:r>
        <w:rPr>
          <w:rFonts w:hint="eastAsia" w:ascii="仿宋" w:hAnsi="仿宋" w:eastAsia="仿宋" w:cs="仿宋"/>
          <w:spacing w:val="-4"/>
          <w:sz w:val="32"/>
          <w:szCs w:val="32"/>
          <w:lang w:eastAsia="zh-CN"/>
        </w:rPr>
        <w:t>申报单位：江苏省</w:t>
      </w:r>
      <w:r>
        <w:rPr>
          <w:rFonts w:hint="eastAsia" w:ascii="仿宋" w:hAnsi="仿宋" w:eastAsia="仿宋" w:cs="仿宋"/>
          <w:spacing w:val="-4"/>
          <w:sz w:val="32"/>
          <w:szCs w:val="32"/>
          <w:lang w:val="en-US" w:eastAsia="zh-CN"/>
        </w:rPr>
        <w:t>海安市技工学校</w:t>
      </w:r>
    </w:p>
    <w:p w14:paraId="5805D843">
      <w:pPr>
        <w:spacing w:before="217" w:line="348" w:lineRule="auto"/>
        <w:jc w:val="center"/>
        <w:rPr>
          <w:rFonts w:ascii="仿宋" w:hAnsi="仿宋" w:eastAsia="仿宋" w:cs="仿宋"/>
          <w:spacing w:val="-4"/>
          <w:sz w:val="32"/>
          <w:szCs w:val="32"/>
          <w:lang w:eastAsia="zh-CN"/>
        </w:rPr>
      </w:pPr>
      <w:r>
        <w:rPr>
          <w:rFonts w:hint="eastAsia" w:ascii="仿宋" w:hAnsi="仿宋" w:eastAsia="仿宋" w:cs="仿宋"/>
          <w:spacing w:val="-4"/>
          <w:sz w:val="32"/>
          <w:szCs w:val="32"/>
          <w:lang w:eastAsia="zh-CN"/>
        </w:rPr>
        <w:t>2024年</w:t>
      </w:r>
      <w:r>
        <w:rPr>
          <w:rFonts w:hint="eastAsia" w:ascii="仿宋" w:hAnsi="仿宋" w:eastAsia="仿宋" w:cs="仿宋"/>
          <w:spacing w:val="-4"/>
          <w:sz w:val="32"/>
          <w:szCs w:val="32"/>
          <w:lang w:val="en-US" w:eastAsia="zh-CN"/>
        </w:rPr>
        <w:t>10</w:t>
      </w:r>
      <w:r>
        <w:rPr>
          <w:rFonts w:hint="eastAsia" w:ascii="仿宋" w:hAnsi="仿宋" w:eastAsia="仿宋" w:cs="仿宋"/>
          <w:spacing w:val="-4"/>
          <w:sz w:val="32"/>
          <w:szCs w:val="32"/>
          <w:lang w:eastAsia="zh-CN"/>
        </w:rPr>
        <w:t>月</w:t>
      </w:r>
    </w:p>
    <w:p w14:paraId="474B4D1F">
      <w:pPr>
        <w:spacing w:before="118"/>
      </w:pPr>
    </w:p>
    <w:p w14:paraId="7A3C6025">
      <w:pPr>
        <w:spacing w:before="117"/>
      </w:pPr>
    </w:p>
    <w:tbl>
      <w:tblPr>
        <w:tblStyle w:val="10"/>
        <w:tblW w:w="882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94"/>
        <w:gridCol w:w="3640"/>
        <w:gridCol w:w="1795"/>
      </w:tblGrid>
      <w:tr w14:paraId="4B604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3394" w:type="dxa"/>
            <w:tcBorders>
              <w:top w:val="single" w:color="000000" w:sz="10" w:space="0"/>
              <w:left w:val="single" w:color="000000" w:sz="10" w:space="0"/>
            </w:tcBorders>
          </w:tcPr>
          <w:p w14:paraId="6D22C573">
            <w:pPr>
              <w:pStyle w:val="9"/>
              <w:spacing w:before="160" w:line="227" w:lineRule="auto"/>
              <w:ind w:left="738"/>
              <w:rPr>
                <w:sz w:val="23"/>
                <w:szCs w:val="23"/>
              </w:rPr>
            </w:pPr>
            <w:r>
              <w:rPr>
                <w:b/>
                <w:bCs/>
                <w:spacing w:val="4"/>
                <w:sz w:val="23"/>
                <w:szCs w:val="23"/>
              </w:rPr>
              <w:t>审核单位（盖章）</w:t>
            </w:r>
          </w:p>
        </w:tc>
        <w:tc>
          <w:tcPr>
            <w:tcW w:w="3640" w:type="dxa"/>
            <w:tcBorders>
              <w:top w:val="single" w:color="000000" w:sz="10" w:space="0"/>
            </w:tcBorders>
          </w:tcPr>
          <w:p w14:paraId="3DACD20B">
            <w:pPr>
              <w:pStyle w:val="9"/>
              <w:spacing w:before="161" w:line="227" w:lineRule="auto"/>
              <w:ind w:left="1353"/>
              <w:rPr>
                <w:sz w:val="23"/>
                <w:szCs w:val="23"/>
              </w:rPr>
            </w:pPr>
            <w:r>
              <w:rPr>
                <w:b/>
                <w:bCs/>
                <w:spacing w:val="3"/>
                <w:sz w:val="23"/>
                <w:szCs w:val="23"/>
              </w:rPr>
              <w:t>审核意见</w:t>
            </w:r>
          </w:p>
        </w:tc>
        <w:tc>
          <w:tcPr>
            <w:tcW w:w="1795" w:type="dxa"/>
            <w:tcBorders>
              <w:top w:val="single" w:color="000000" w:sz="10" w:space="0"/>
              <w:right w:val="single" w:color="000000" w:sz="10" w:space="0"/>
            </w:tcBorders>
          </w:tcPr>
          <w:p w14:paraId="0DBAFCCF">
            <w:pPr>
              <w:pStyle w:val="9"/>
              <w:spacing w:before="161" w:line="227" w:lineRule="auto"/>
              <w:ind w:left="314"/>
              <w:rPr>
                <w:sz w:val="23"/>
                <w:szCs w:val="23"/>
              </w:rPr>
            </w:pPr>
            <w:r>
              <w:rPr>
                <w:b/>
                <w:bCs/>
                <w:spacing w:val="4"/>
                <w:sz w:val="23"/>
                <w:szCs w:val="23"/>
              </w:rPr>
              <w:t>负责人签字</w:t>
            </w:r>
          </w:p>
        </w:tc>
      </w:tr>
      <w:tr w14:paraId="4FBBC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3394" w:type="dxa"/>
            <w:tcBorders>
              <w:left w:val="single" w:color="000000" w:sz="10" w:space="0"/>
              <w:bottom w:val="single" w:color="000000" w:sz="10" w:space="0"/>
            </w:tcBorders>
          </w:tcPr>
          <w:p w14:paraId="2B5D9437">
            <w:pPr>
              <w:spacing w:before="164" w:line="230" w:lineRule="auto"/>
              <w:ind w:left="619"/>
              <w:rPr>
                <w:rFonts w:ascii="仿宋" w:hAnsi="仿宋" w:eastAsia="仿宋" w:cs="仿宋"/>
                <w:sz w:val="23"/>
                <w:szCs w:val="23"/>
              </w:rPr>
            </w:pPr>
            <w:r>
              <w:rPr>
                <w:rFonts w:hint="eastAsia" w:ascii="仿宋" w:hAnsi="仿宋" w:eastAsia="仿宋" w:cs="仿宋"/>
                <w:b/>
                <w:bCs/>
                <w:spacing w:val="6"/>
                <w:sz w:val="23"/>
                <w:szCs w:val="23"/>
                <w:lang w:eastAsia="zh-CN"/>
              </w:rPr>
              <w:t>市</w:t>
            </w:r>
            <w:r>
              <w:rPr>
                <w:rFonts w:ascii="仿宋" w:hAnsi="仿宋" w:eastAsia="仿宋" w:cs="仿宋"/>
                <w:b/>
                <w:bCs/>
                <w:spacing w:val="6"/>
                <w:sz w:val="23"/>
                <w:szCs w:val="23"/>
              </w:rPr>
              <w:t>技能鉴定中心</w:t>
            </w:r>
          </w:p>
        </w:tc>
        <w:tc>
          <w:tcPr>
            <w:tcW w:w="3640" w:type="dxa"/>
            <w:tcBorders>
              <w:bottom w:val="single" w:color="000000" w:sz="10" w:space="0"/>
            </w:tcBorders>
          </w:tcPr>
          <w:p w14:paraId="25859CA3"/>
        </w:tc>
        <w:tc>
          <w:tcPr>
            <w:tcW w:w="1795" w:type="dxa"/>
            <w:tcBorders>
              <w:bottom w:val="single" w:color="000000" w:sz="10" w:space="0"/>
              <w:right w:val="single" w:color="000000" w:sz="10" w:space="0"/>
            </w:tcBorders>
          </w:tcPr>
          <w:p w14:paraId="5665A5FE"/>
        </w:tc>
      </w:tr>
    </w:tbl>
    <w:p w14:paraId="64E32D8E"/>
    <w:p w14:paraId="00656243">
      <w:pPr>
        <w:sectPr>
          <w:pgSz w:w="11916" w:h="16848"/>
          <w:pgMar w:top="1432" w:right="1535" w:bottom="1807" w:left="1525" w:header="0" w:footer="1533" w:gutter="0"/>
          <w:pgNumType w:start="1"/>
          <w:cols w:space="720" w:num="1"/>
        </w:sectPr>
      </w:pPr>
    </w:p>
    <w:sdt>
      <w:sdtPr>
        <w:rPr>
          <w:rFonts w:hint="eastAsia" w:ascii="微软雅黑" w:hAnsi="微软雅黑" w:eastAsia="微软雅黑" w:cs="微软雅黑"/>
          <w:snapToGrid/>
          <w:color w:val="auto"/>
          <w:sz w:val="32"/>
          <w:szCs w:val="32"/>
          <w:lang w:val="en-US" w:eastAsia="en-US"/>
        </w:rPr>
        <w:id w:val="147467198"/>
        <w15:color w:val="DBDBDB"/>
        <w:docPartObj>
          <w:docPartGallery w:val="Table of Contents"/>
          <w:docPartUnique/>
        </w:docPartObj>
      </w:sdtPr>
      <w:sdtEndPr>
        <w:rPr>
          <w:rFonts w:hint="eastAsia" w:ascii="Arial" w:hAnsi="Arial" w:eastAsia="Arial" w:cs="Arial"/>
          <w:snapToGrid w:val="0"/>
          <w:color w:val="000000"/>
          <w:sz w:val="21"/>
          <w:szCs w:val="21"/>
          <w:lang w:val="en-US" w:eastAsia="en-US" w:bidi="ar-SA"/>
        </w:rPr>
      </w:sdtEndPr>
      <w:sdtContent>
        <w:p w14:paraId="22FCBF75">
          <w:pPr>
            <w:spacing w:before="0" w:beforeLines="0" w:after="0" w:afterLines="0" w:line="240" w:lineRule="auto"/>
            <w:ind w:left="0" w:leftChars="0" w:right="0" w:rightChars="0" w:firstLine="0" w:firstLineChars="0"/>
            <w:jc w:val="center"/>
            <w:rPr>
              <w:rFonts w:hint="eastAsia" w:ascii="微软雅黑" w:hAnsi="微软雅黑" w:eastAsia="微软雅黑" w:cs="微软雅黑"/>
              <w:snapToGrid/>
              <w:color w:val="auto"/>
              <w:sz w:val="32"/>
              <w:szCs w:val="32"/>
              <w:lang w:eastAsia="zh-CN"/>
            </w:rPr>
          </w:pPr>
          <w:r>
            <w:rPr>
              <w:rFonts w:hint="eastAsia" w:ascii="微软雅黑" w:hAnsi="微软雅黑" w:eastAsia="微软雅黑" w:cs="微软雅黑"/>
              <w:snapToGrid/>
              <w:color w:val="auto"/>
              <w:sz w:val="32"/>
              <w:szCs w:val="32"/>
              <w:lang w:eastAsia="zh-CN"/>
            </w:rPr>
            <w:t>目</w:t>
          </w:r>
          <w:r>
            <w:rPr>
              <w:rFonts w:hint="eastAsia" w:ascii="微软雅黑" w:hAnsi="微软雅黑" w:eastAsia="微软雅黑" w:cs="微软雅黑"/>
              <w:snapToGrid/>
              <w:color w:val="auto"/>
              <w:sz w:val="32"/>
              <w:szCs w:val="32"/>
              <w:lang w:val="en-US" w:eastAsia="zh-CN"/>
            </w:rPr>
            <w:t xml:space="preserve">   </w:t>
          </w:r>
          <w:r>
            <w:rPr>
              <w:rFonts w:hint="eastAsia" w:ascii="微软雅黑" w:hAnsi="微软雅黑" w:eastAsia="微软雅黑" w:cs="微软雅黑"/>
              <w:snapToGrid/>
              <w:color w:val="auto"/>
              <w:sz w:val="32"/>
              <w:szCs w:val="32"/>
              <w:lang w:eastAsia="zh-CN"/>
            </w:rPr>
            <w:t>录</w:t>
          </w:r>
        </w:p>
        <w:p w14:paraId="3053E129">
          <w:pPr>
            <w:pStyle w:val="12"/>
            <w:tabs>
              <w:tab w:val="right" w:leader="dot" w:pos="8306"/>
            </w:tabs>
            <w:rPr>
              <w:rFonts w:hint="eastAsia" w:ascii="微软雅黑" w:hAnsi="微软雅黑" w:eastAsia="微软雅黑" w:cs="微软雅黑"/>
              <w:sz w:val="32"/>
              <w:szCs w:val="32"/>
            </w:rPr>
          </w:pP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TOC \o "1-1" \h \u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HYPERLINK \l _Toc10054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lang w:eastAsia="zh-CN"/>
            </w:rPr>
            <w:t>一、编制依据</w:t>
          </w:r>
          <w:r>
            <w:rPr>
              <w:rFonts w:hint="eastAsia" w:ascii="微软雅黑" w:hAnsi="微软雅黑" w:eastAsia="微软雅黑" w:cs="微软雅黑"/>
              <w:sz w:val="32"/>
              <w:szCs w:val="32"/>
            </w:rPr>
            <w:tab/>
          </w: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PAGEREF _Toc10054 \h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rPr>
            <w:t>1</w:t>
          </w:r>
          <w:r>
            <w:rPr>
              <w:rFonts w:hint="eastAsia" w:ascii="微软雅黑" w:hAnsi="微软雅黑" w:eastAsia="微软雅黑" w:cs="微软雅黑"/>
              <w:sz w:val="32"/>
              <w:szCs w:val="32"/>
            </w:rPr>
            <w:fldChar w:fldCharType="end"/>
          </w:r>
          <w:r>
            <w:rPr>
              <w:rFonts w:hint="eastAsia" w:ascii="微软雅黑" w:hAnsi="微软雅黑" w:eastAsia="微软雅黑" w:cs="微软雅黑"/>
              <w:sz w:val="32"/>
              <w:szCs w:val="32"/>
            </w:rPr>
            <w:fldChar w:fldCharType="end"/>
          </w:r>
        </w:p>
        <w:p w14:paraId="1379C223">
          <w:pPr>
            <w:pStyle w:val="12"/>
            <w:tabs>
              <w:tab w:val="right" w:leader="dot" w:pos="8306"/>
            </w:tabs>
            <w:rPr>
              <w:rFonts w:hint="eastAsia" w:ascii="微软雅黑" w:hAnsi="微软雅黑" w:eastAsia="微软雅黑" w:cs="微软雅黑"/>
              <w:sz w:val="32"/>
              <w:szCs w:val="32"/>
            </w:rPr>
          </w:pP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HYPERLINK \l _Toc13993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lang w:eastAsia="zh-CN"/>
            </w:rPr>
            <w:t>二、技术描述</w:t>
          </w:r>
          <w:r>
            <w:rPr>
              <w:rFonts w:hint="eastAsia" w:ascii="微软雅黑" w:hAnsi="微软雅黑" w:eastAsia="微软雅黑" w:cs="微软雅黑"/>
              <w:sz w:val="32"/>
              <w:szCs w:val="32"/>
            </w:rPr>
            <w:tab/>
          </w: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PAGEREF _Toc13993 \h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rPr>
            <w:t>1</w:t>
          </w:r>
          <w:r>
            <w:rPr>
              <w:rFonts w:hint="eastAsia" w:ascii="微软雅黑" w:hAnsi="微软雅黑" w:eastAsia="微软雅黑" w:cs="微软雅黑"/>
              <w:sz w:val="32"/>
              <w:szCs w:val="32"/>
            </w:rPr>
            <w:fldChar w:fldCharType="end"/>
          </w:r>
          <w:r>
            <w:rPr>
              <w:rFonts w:hint="eastAsia" w:ascii="微软雅黑" w:hAnsi="微软雅黑" w:eastAsia="微软雅黑" w:cs="微软雅黑"/>
              <w:sz w:val="32"/>
              <w:szCs w:val="32"/>
            </w:rPr>
            <w:fldChar w:fldCharType="end"/>
          </w:r>
        </w:p>
        <w:p w14:paraId="3FAEAC47">
          <w:pPr>
            <w:pStyle w:val="12"/>
            <w:tabs>
              <w:tab w:val="right" w:leader="dot" w:pos="8306"/>
            </w:tabs>
            <w:rPr>
              <w:rFonts w:hint="eastAsia" w:ascii="微软雅黑" w:hAnsi="微软雅黑" w:eastAsia="微软雅黑" w:cs="微软雅黑"/>
              <w:sz w:val="32"/>
              <w:szCs w:val="32"/>
            </w:rPr>
          </w:pP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HYPERLINK \l _Toc31914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lang w:eastAsia="zh-CN"/>
            </w:rPr>
            <w:t>三、技术纲要</w:t>
          </w:r>
          <w:r>
            <w:rPr>
              <w:rFonts w:hint="eastAsia" w:ascii="微软雅黑" w:hAnsi="微软雅黑" w:eastAsia="微软雅黑" w:cs="微软雅黑"/>
              <w:sz w:val="32"/>
              <w:szCs w:val="32"/>
            </w:rPr>
            <w:tab/>
          </w: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PAGEREF _Toc31914 \h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rPr>
            <w:t>1</w:t>
          </w:r>
          <w:r>
            <w:rPr>
              <w:rFonts w:hint="eastAsia" w:ascii="微软雅黑" w:hAnsi="微软雅黑" w:eastAsia="微软雅黑" w:cs="微软雅黑"/>
              <w:sz w:val="32"/>
              <w:szCs w:val="32"/>
            </w:rPr>
            <w:fldChar w:fldCharType="end"/>
          </w:r>
          <w:r>
            <w:rPr>
              <w:rFonts w:hint="eastAsia" w:ascii="微软雅黑" w:hAnsi="微软雅黑" w:eastAsia="微软雅黑" w:cs="微软雅黑"/>
              <w:sz w:val="32"/>
              <w:szCs w:val="32"/>
            </w:rPr>
            <w:fldChar w:fldCharType="end"/>
          </w:r>
        </w:p>
        <w:p w14:paraId="4B6C0E70">
          <w:pPr>
            <w:pStyle w:val="12"/>
            <w:tabs>
              <w:tab w:val="right" w:leader="dot" w:pos="8306"/>
            </w:tabs>
            <w:rPr>
              <w:rFonts w:hint="eastAsia" w:ascii="微软雅黑" w:hAnsi="微软雅黑" w:eastAsia="微软雅黑" w:cs="微软雅黑"/>
              <w:sz w:val="32"/>
              <w:szCs w:val="32"/>
            </w:rPr>
          </w:pP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HYPERLINK \l _Toc23575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lang w:eastAsia="zh-CN"/>
            </w:rPr>
            <w:t>四、场地设施设备简述</w:t>
          </w:r>
          <w:r>
            <w:rPr>
              <w:rFonts w:hint="eastAsia" w:ascii="微软雅黑" w:hAnsi="微软雅黑" w:eastAsia="微软雅黑" w:cs="微软雅黑"/>
              <w:sz w:val="32"/>
              <w:szCs w:val="32"/>
            </w:rPr>
            <w:tab/>
          </w: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PAGEREF _Toc23575 \h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rPr>
            <w:t>2</w:t>
          </w:r>
          <w:r>
            <w:rPr>
              <w:rFonts w:hint="eastAsia" w:ascii="微软雅黑" w:hAnsi="微软雅黑" w:eastAsia="微软雅黑" w:cs="微软雅黑"/>
              <w:sz w:val="32"/>
              <w:szCs w:val="32"/>
            </w:rPr>
            <w:fldChar w:fldCharType="end"/>
          </w:r>
          <w:r>
            <w:rPr>
              <w:rFonts w:hint="eastAsia" w:ascii="微软雅黑" w:hAnsi="微软雅黑" w:eastAsia="微软雅黑" w:cs="微软雅黑"/>
              <w:sz w:val="32"/>
              <w:szCs w:val="32"/>
            </w:rPr>
            <w:fldChar w:fldCharType="end"/>
          </w:r>
        </w:p>
        <w:p w14:paraId="380E79E7">
          <w:pPr>
            <w:pStyle w:val="12"/>
            <w:tabs>
              <w:tab w:val="right" w:leader="dot" w:pos="8306"/>
            </w:tabs>
            <w:rPr>
              <w:rFonts w:hint="eastAsia" w:ascii="微软雅黑" w:hAnsi="微软雅黑" w:eastAsia="微软雅黑" w:cs="微软雅黑"/>
              <w:sz w:val="32"/>
              <w:szCs w:val="32"/>
            </w:rPr>
          </w:pP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HYPERLINK \l _Toc16306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lang w:eastAsia="zh-CN"/>
            </w:rPr>
            <w:t>五、技术团队组成人员</w:t>
          </w:r>
          <w:r>
            <w:rPr>
              <w:rFonts w:hint="eastAsia" w:ascii="微软雅黑" w:hAnsi="微软雅黑" w:eastAsia="微软雅黑" w:cs="微软雅黑"/>
              <w:sz w:val="32"/>
              <w:szCs w:val="32"/>
            </w:rPr>
            <w:tab/>
          </w: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PAGEREF _Toc16306 \h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rPr>
            <w:t>3</w:t>
          </w:r>
          <w:r>
            <w:rPr>
              <w:rFonts w:hint="eastAsia" w:ascii="微软雅黑" w:hAnsi="微软雅黑" w:eastAsia="微软雅黑" w:cs="微软雅黑"/>
              <w:sz w:val="32"/>
              <w:szCs w:val="32"/>
            </w:rPr>
            <w:fldChar w:fldCharType="end"/>
          </w:r>
          <w:r>
            <w:rPr>
              <w:rFonts w:hint="eastAsia" w:ascii="微软雅黑" w:hAnsi="微软雅黑" w:eastAsia="微软雅黑" w:cs="微软雅黑"/>
              <w:sz w:val="32"/>
              <w:szCs w:val="32"/>
            </w:rPr>
            <w:fldChar w:fldCharType="end"/>
          </w:r>
        </w:p>
        <w:p w14:paraId="303FD3BC">
          <w:pPr>
            <w:pStyle w:val="12"/>
            <w:tabs>
              <w:tab w:val="right" w:leader="dot" w:pos="8306"/>
            </w:tabs>
            <w:rPr>
              <w:rFonts w:hint="eastAsia" w:ascii="微软雅黑" w:hAnsi="微软雅黑" w:eastAsia="微软雅黑" w:cs="微软雅黑"/>
              <w:sz w:val="32"/>
              <w:szCs w:val="32"/>
            </w:rPr>
          </w:pP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HYPERLINK \l _Toc3246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lang w:eastAsia="zh-CN"/>
            </w:rPr>
            <w:t>六、纪律要求</w:t>
          </w:r>
          <w:r>
            <w:rPr>
              <w:rFonts w:hint="eastAsia" w:ascii="微软雅黑" w:hAnsi="微软雅黑" w:eastAsia="微软雅黑" w:cs="微软雅黑"/>
              <w:sz w:val="32"/>
              <w:szCs w:val="32"/>
            </w:rPr>
            <w:tab/>
          </w: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PAGEREF _Toc3246 \h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rPr>
            <w:t>6</w:t>
          </w:r>
          <w:r>
            <w:rPr>
              <w:rFonts w:hint="eastAsia" w:ascii="微软雅黑" w:hAnsi="微软雅黑" w:eastAsia="微软雅黑" w:cs="微软雅黑"/>
              <w:sz w:val="32"/>
              <w:szCs w:val="32"/>
            </w:rPr>
            <w:fldChar w:fldCharType="end"/>
          </w:r>
          <w:r>
            <w:rPr>
              <w:rFonts w:hint="eastAsia" w:ascii="微软雅黑" w:hAnsi="微软雅黑" w:eastAsia="微软雅黑" w:cs="微软雅黑"/>
              <w:sz w:val="32"/>
              <w:szCs w:val="32"/>
            </w:rPr>
            <w:fldChar w:fldCharType="end"/>
          </w:r>
        </w:p>
        <w:p w14:paraId="59A5B29C">
          <w:pPr>
            <w:pStyle w:val="12"/>
            <w:tabs>
              <w:tab w:val="right" w:leader="dot" w:pos="8306"/>
            </w:tabs>
            <w:rPr>
              <w:rFonts w:hint="eastAsia" w:ascii="微软雅黑" w:hAnsi="微软雅黑" w:eastAsia="微软雅黑" w:cs="微软雅黑"/>
              <w:sz w:val="32"/>
              <w:szCs w:val="32"/>
            </w:rPr>
          </w:pP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HYPERLINK \l _Toc1536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lang w:eastAsia="zh-CN"/>
            </w:rPr>
            <w:t>七、题库</w:t>
          </w:r>
          <w:r>
            <w:rPr>
              <w:rFonts w:hint="eastAsia" w:ascii="微软雅黑" w:hAnsi="微软雅黑" w:eastAsia="微软雅黑" w:cs="微软雅黑"/>
              <w:sz w:val="32"/>
              <w:szCs w:val="32"/>
            </w:rPr>
            <w:tab/>
          </w: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PAGEREF _Toc1536 \h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rPr>
            <w:t>8</w:t>
          </w:r>
          <w:r>
            <w:rPr>
              <w:rFonts w:hint="eastAsia" w:ascii="微软雅黑" w:hAnsi="微软雅黑" w:eastAsia="微软雅黑" w:cs="微软雅黑"/>
              <w:sz w:val="32"/>
              <w:szCs w:val="32"/>
            </w:rPr>
            <w:fldChar w:fldCharType="end"/>
          </w:r>
          <w:r>
            <w:rPr>
              <w:rFonts w:hint="eastAsia" w:ascii="微软雅黑" w:hAnsi="微软雅黑" w:eastAsia="微软雅黑" w:cs="微软雅黑"/>
              <w:sz w:val="32"/>
              <w:szCs w:val="32"/>
            </w:rPr>
            <w:fldChar w:fldCharType="end"/>
          </w:r>
        </w:p>
        <w:p w14:paraId="5B70796D">
          <w:pPr>
            <w:pStyle w:val="12"/>
            <w:tabs>
              <w:tab w:val="right" w:leader="dot" w:pos="8306"/>
            </w:tabs>
            <w:rPr>
              <w:rFonts w:hint="eastAsia" w:ascii="微软雅黑" w:hAnsi="微软雅黑" w:eastAsia="微软雅黑" w:cs="微软雅黑"/>
              <w:sz w:val="32"/>
              <w:szCs w:val="32"/>
            </w:rPr>
          </w:pP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HYPERLINK \l _Toc13917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lang w:val="en-US" w:eastAsia="zh-CN"/>
            </w:rPr>
            <w:t>附件1：理论题库</w:t>
          </w:r>
          <w:r>
            <w:rPr>
              <w:rFonts w:hint="eastAsia" w:ascii="微软雅黑" w:hAnsi="微软雅黑" w:eastAsia="微软雅黑" w:cs="微软雅黑"/>
              <w:sz w:val="32"/>
              <w:szCs w:val="32"/>
            </w:rPr>
            <w:tab/>
          </w: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 PAGEREF _Toc13917 \h </w:instrText>
          </w:r>
          <w:r>
            <w:rPr>
              <w:rFonts w:hint="eastAsia" w:ascii="微软雅黑" w:hAnsi="微软雅黑" w:eastAsia="微软雅黑" w:cs="微软雅黑"/>
              <w:sz w:val="32"/>
              <w:szCs w:val="32"/>
            </w:rPr>
            <w:fldChar w:fldCharType="separate"/>
          </w:r>
          <w:r>
            <w:rPr>
              <w:rFonts w:hint="eastAsia" w:ascii="微软雅黑" w:hAnsi="微软雅黑" w:eastAsia="微软雅黑" w:cs="微软雅黑"/>
              <w:sz w:val="32"/>
              <w:szCs w:val="32"/>
            </w:rPr>
            <w:t>16</w:t>
          </w:r>
          <w:r>
            <w:rPr>
              <w:rFonts w:hint="eastAsia" w:ascii="微软雅黑" w:hAnsi="微软雅黑" w:eastAsia="微软雅黑" w:cs="微软雅黑"/>
              <w:sz w:val="32"/>
              <w:szCs w:val="32"/>
            </w:rPr>
            <w:fldChar w:fldCharType="end"/>
          </w:r>
          <w:r>
            <w:rPr>
              <w:rFonts w:hint="eastAsia" w:ascii="微软雅黑" w:hAnsi="微软雅黑" w:eastAsia="微软雅黑" w:cs="微软雅黑"/>
              <w:sz w:val="32"/>
              <w:szCs w:val="32"/>
            </w:rPr>
            <w:fldChar w:fldCharType="end"/>
          </w:r>
        </w:p>
        <w:p w14:paraId="659C0D18">
          <w:pPr>
            <w:pStyle w:val="12"/>
            <w:tabs>
              <w:tab w:val="right" w:leader="dot" w:pos="8306"/>
            </w:tabs>
            <w:rPr>
              <w:rFonts w:hint="eastAsia" w:ascii="微软雅黑" w:hAnsi="微软雅黑" w:eastAsia="微软雅黑" w:cs="微软雅黑"/>
              <w:sz w:val="32"/>
              <w:szCs w:val="32"/>
            </w:rPr>
          </w:pPr>
        </w:p>
        <w:p w14:paraId="71DF7757">
          <w:pPr>
            <w:spacing w:line="290" w:lineRule="auto"/>
          </w:pPr>
          <w:r>
            <w:rPr>
              <w:rFonts w:hint="eastAsia" w:ascii="微软雅黑" w:hAnsi="微软雅黑" w:eastAsia="微软雅黑" w:cs="微软雅黑"/>
              <w:sz w:val="32"/>
              <w:szCs w:val="32"/>
            </w:rPr>
            <w:fldChar w:fldCharType="end"/>
          </w:r>
        </w:p>
      </w:sdtContent>
    </w:sdt>
    <w:p w14:paraId="4E60ABE8">
      <w:pPr>
        <w:spacing w:line="291" w:lineRule="auto"/>
      </w:pPr>
    </w:p>
    <w:p w14:paraId="4455D302">
      <w:pPr>
        <w:pStyle w:val="2"/>
        <w:bidi w:val="0"/>
        <w:rPr>
          <w:lang w:eastAsia="zh-CN"/>
        </w:rPr>
      </w:pPr>
      <w:bookmarkStart w:id="6" w:name="_Toc10054"/>
    </w:p>
    <w:p w14:paraId="4243F3DA">
      <w:pPr>
        <w:pStyle w:val="2"/>
        <w:bidi w:val="0"/>
        <w:rPr>
          <w:lang w:eastAsia="zh-CN"/>
        </w:rPr>
      </w:pPr>
    </w:p>
    <w:p w14:paraId="235CFA3E">
      <w:pPr>
        <w:pStyle w:val="2"/>
        <w:bidi w:val="0"/>
        <w:rPr>
          <w:lang w:eastAsia="zh-CN"/>
        </w:rPr>
      </w:pPr>
    </w:p>
    <w:p w14:paraId="1C17DF43">
      <w:pPr>
        <w:pStyle w:val="2"/>
        <w:bidi w:val="0"/>
        <w:rPr>
          <w:lang w:eastAsia="zh-CN"/>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14:paraId="0F114CD7">
      <w:pPr>
        <w:pStyle w:val="2"/>
        <w:bidi w:val="0"/>
        <w:rPr>
          <w:lang w:eastAsia="zh-CN"/>
        </w:rPr>
      </w:pPr>
      <w:r>
        <w:rPr>
          <w:lang w:eastAsia="zh-CN"/>
        </w:rPr>
        <w:t>一、编制依据</w:t>
      </w:r>
      <w:bookmarkEnd w:id="6"/>
    </w:p>
    <w:p w14:paraId="14C84923">
      <w:pPr>
        <w:spacing w:line="540" w:lineRule="exact"/>
        <w:ind w:firstLine="584" w:firstLineChars="200"/>
        <w:rPr>
          <w:rFonts w:hint="eastAsia" w:ascii="仿宋" w:hAnsi="仿宋" w:eastAsia="仿宋" w:cs="仿宋"/>
          <w:color w:val="000000" w:themeColor="text1"/>
          <w:spacing w:val="-4"/>
          <w:sz w:val="30"/>
          <w:szCs w:val="30"/>
          <w:highlight w:val="none"/>
          <w:lang w:eastAsia="zh-CN"/>
          <w14:textFill>
            <w14:solidFill>
              <w14:schemeClr w14:val="tx1"/>
            </w14:solidFill>
          </w14:textFill>
        </w:rPr>
      </w:pPr>
      <w:r>
        <w:rPr>
          <w:rFonts w:hint="eastAsia" w:ascii="仿宋" w:hAnsi="仿宋" w:eastAsia="仿宋" w:cs="仿宋"/>
          <w:color w:val="000000" w:themeColor="text1"/>
          <w:spacing w:val="-4"/>
          <w:sz w:val="30"/>
          <w:szCs w:val="30"/>
          <w:highlight w:val="none"/>
          <w:lang w:eastAsia="zh-CN"/>
          <w14:textFill>
            <w14:solidFill>
              <w14:schemeClr w14:val="tx1"/>
            </w14:solidFill>
          </w14:textFill>
        </w:rPr>
        <w:t>依据《电工国家职业标准》，注重基本技能和专业化操作，注重操作过程和质量控制，注重安全生产以及职业道德和标准规范，体现现代技术，结合生产实际，考核综合能力，并对技能人才培养起到示范指导作用。</w:t>
      </w:r>
    </w:p>
    <w:p w14:paraId="0378D184">
      <w:pPr>
        <w:pStyle w:val="2"/>
        <w:bidi w:val="0"/>
        <w:rPr>
          <w:lang w:eastAsia="zh-CN"/>
        </w:rPr>
      </w:pPr>
      <w:bookmarkStart w:id="7" w:name="_Toc13993"/>
      <w:r>
        <w:rPr>
          <w:lang w:eastAsia="zh-CN"/>
        </w:rPr>
        <w:t>二、技术描述</w:t>
      </w:r>
      <w:bookmarkEnd w:id="7"/>
    </w:p>
    <w:p w14:paraId="67FB30C4">
      <w:pPr>
        <w:pStyle w:val="3"/>
        <w:spacing w:before="216" w:line="192" w:lineRule="auto"/>
        <w:ind w:left="568"/>
        <w:outlineLvl w:val="1"/>
        <w:rPr>
          <w:sz w:val="28"/>
          <w:szCs w:val="28"/>
          <w:highlight w:val="none"/>
          <w:lang w:eastAsia="zh-CN"/>
        </w:rPr>
      </w:pPr>
      <w:r>
        <w:rPr>
          <w:rFonts w:hint="eastAsia"/>
          <w:spacing w:val="2"/>
          <w:sz w:val="28"/>
          <w:szCs w:val="28"/>
          <w:highlight w:val="none"/>
          <w:lang w:eastAsia="zh-CN"/>
        </w:rPr>
        <w:t>（一）赛项概要</w:t>
      </w:r>
    </w:p>
    <w:p w14:paraId="24796536">
      <w:pPr>
        <w:spacing w:line="540" w:lineRule="exact"/>
        <w:ind w:firstLine="584" w:firstLineChars="200"/>
        <w:rPr>
          <w:rFonts w:ascii="仿宋" w:hAnsi="仿宋" w:eastAsia="仿宋" w:cs="仿宋"/>
          <w:color w:val="000000" w:themeColor="text1"/>
          <w:spacing w:val="-4"/>
          <w:sz w:val="30"/>
          <w:szCs w:val="30"/>
          <w:highlight w:val="none"/>
          <w:lang w:eastAsia="zh-CN"/>
          <w14:textFill>
            <w14:solidFill>
              <w14:schemeClr w14:val="tx1"/>
            </w14:solidFill>
          </w14:textFill>
        </w:rPr>
      </w:pPr>
      <w:r>
        <w:rPr>
          <w:rFonts w:ascii="仿宋" w:hAnsi="仿宋" w:eastAsia="仿宋" w:cs="仿宋"/>
          <w:color w:val="000000" w:themeColor="text1"/>
          <w:spacing w:val="-4"/>
          <w:sz w:val="30"/>
          <w:szCs w:val="30"/>
          <w:highlight w:val="none"/>
          <w:lang w:eastAsia="zh-CN"/>
          <w14:textFill>
            <w14:solidFill>
              <w14:schemeClr w14:val="tx1"/>
            </w14:solidFill>
          </w14:textFill>
        </w:rPr>
        <w:t>本赛项所考核的对象为“</w:t>
      </w:r>
      <w:r>
        <w:rPr>
          <w:rFonts w:hint="eastAsia" w:ascii="仿宋" w:hAnsi="仿宋" w:eastAsia="仿宋" w:cs="仿宋"/>
          <w:color w:val="000000" w:themeColor="text1"/>
          <w:spacing w:val="-4"/>
          <w:sz w:val="30"/>
          <w:szCs w:val="30"/>
          <w:highlight w:val="none"/>
          <w:lang w:eastAsia="zh-CN"/>
          <w14:textFill>
            <w14:solidFill>
              <w14:schemeClr w14:val="tx1"/>
            </w14:solidFill>
          </w14:textFill>
        </w:rPr>
        <w:t>电气控制电路的安装、编程、调试的电工工作人员</w:t>
      </w:r>
      <w:r>
        <w:rPr>
          <w:rFonts w:ascii="仿宋" w:hAnsi="仿宋" w:eastAsia="仿宋" w:cs="仿宋"/>
          <w:color w:val="000000" w:themeColor="text1"/>
          <w:spacing w:val="-4"/>
          <w:sz w:val="30"/>
          <w:szCs w:val="30"/>
          <w:highlight w:val="none"/>
          <w:lang w:eastAsia="zh-CN"/>
          <w14:textFill>
            <w14:solidFill>
              <w14:schemeClr w14:val="tx1"/>
            </w14:solidFill>
          </w14:textFill>
        </w:rPr>
        <w:t>”，所考核的主要内容包括：</w:t>
      </w:r>
      <w:r>
        <w:rPr>
          <w:rFonts w:hint="eastAsia" w:ascii="仿宋" w:hAnsi="仿宋" w:eastAsia="仿宋" w:cs="仿宋"/>
          <w:color w:val="000000" w:themeColor="text1"/>
          <w:spacing w:val="-4"/>
          <w:sz w:val="30"/>
          <w:szCs w:val="30"/>
          <w:highlight w:val="none"/>
          <w:lang w:eastAsia="zh-CN"/>
          <w14:textFill>
            <w14:solidFill>
              <w14:schemeClr w14:val="tx1"/>
            </w14:solidFill>
          </w14:textFill>
        </w:rPr>
        <w:t>电工基本理论知识；电气元件的选择；电气元件的安装；电气控制电路的连接；电气控制电路的</w:t>
      </w:r>
      <w:r>
        <w:rPr>
          <w:rFonts w:hint="eastAsia" w:ascii="仿宋" w:hAnsi="仿宋" w:eastAsia="仿宋" w:cs="仿宋"/>
          <w:color w:val="000000" w:themeColor="text1"/>
          <w:spacing w:val="-4"/>
          <w:sz w:val="30"/>
          <w:szCs w:val="30"/>
          <w:highlight w:val="none"/>
          <w:lang w:val="en-US" w:eastAsia="zh-CN"/>
          <w14:textFill>
            <w14:solidFill>
              <w14:schemeClr w14:val="tx1"/>
            </w14:solidFill>
          </w14:textFill>
        </w:rPr>
        <w:t>PLC</w:t>
      </w:r>
      <w:r>
        <w:rPr>
          <w:rFonts w:hint="eastAsia" w:ascii="仿宋" w:hAnsi="仿宋" w:eastAsia="仿宋" w:cs="仿宋"/>
          <w:color w:val="000000" w:themeColor="text1"/>
          <w:spacing w:val="-4"/>
          <w:sz w:val="30"/>
          <w:szCs w:val="30"/>
          <w:highlight w:val="none"/>
          <w:lang w:eastAsia="zh-CN"/>
          <w14:textFill>
            <w14:solidFill>
              <w14:schemeClr w14:val="tx1"/>
            </w14:solidFill>
          </w14:textFill>
        </w:rPr>
        <w:t>控制实现</w:t>
      </w:r>
    </w:p>
    <w:p w14:paraId="12840098">
      <w:pPr>
        <w:pStyle w:val="3"/>
        <w:spacing w:before="216" w:line="192" w:lineRule="auto"/>
        <w:ind w:left="568"/>
        <w:outlineLvl w:val="1"/>
        <w:rPr>
          <w:spacing w:val="2"/>
          <w:sz w:val="28"/>
          <w:szCs w:val="28"/>
          <w:highlight w:val="none"/>
          <w:lang w:eastAsia="zh-CN"/>
        </w:rPr>
      </w:pPr>
      <w:r>
        <w:rPr>
          <w:rFonts w:hint="eastAsia"/>
          <w:spacing w:val="2"/>
          <w:sz w:val="28"/>
          <w:szCs w:val="28"/>
          <w:highlight w:val="none"/>
          <w:lang w:eastAsia="zh-CN"/>
        </w:rPr>
        <w:t>（二）能力特征</w:t>
      </w:r>
    </w:p>
    <w:p w14:paraId="0BF241AF">
      <w:pPr>
        <w:spacing w:line="540" w:lineRule="exact"/>
        <w:ind w:firstLine="584" w:firstLineChars="200"/>
        <w:rPr>
          <w:rFonts w:hint="eastAsia" w:ascii="仿宋" w:hAnsi="仿宋" w:eastAsia="仿宋" w:cs="仿宋"/>
          <w:color w:val="000000" w:themeColor="text1"/>
          <w:spacing w:val="-4"/>
          <w:sz w:val="30"/>
          <w:szCs w:val="30"/>
          <w:highlight w:val="none"/>
          <w:lang w:eastAsia="zh-CN"/>
          <w14:textFill>
            <w14:solidFill>
              <w14:schemeClr w14:val="tx1"/>
            </w14:solidFill>
          </w14:textFill>
        </w:rPr>
      </w:pPr>
      <w:r>
        <w:rPr>
          <w:rFonts w:ascii="仿宋" w:hAnsi="仿宋" w:eastAsia="仿宋" w:cs="仿宋"/>
          <w:color w:val="000000" w:themeColor="text1"/>
          <w:spacing w:val="-4"/>
          <w:sz w:val="30"/>
          <w:szCs w:val="30"/>
          <w:highlight w:val="none"/>
          <w:lang w:eastAsia="zh-CN"/>
          <w14:textFill>
            <w14:solidFill>
              <w14:schemeClr w14:val="tx1"/>
            </w14:solidFill>
          </w14:textFill>
        </w:rPr>
        <w:t>本赛项参赛选手应具有较强的学习、</w:t>
      </w:r>
      <w:r>
        <w:rPr>
          <w:rFonts w:hint="eastAsia" w:ascii="仿宋" w:hAnsi="仿宋" w:eastAsia="仿宋" w:cs="仿宋"/>
          <w:color w:val="000000" w:themeColor="text1"/>
          <w:spacing w:val="-4"/>
          <w:sz w:val="30"/>
          <w:szCs w:val="30"/>
          <w:highlight w:val="none"/>
          <w:lang w:eastAsia="zh-CN"/>
          <w14:textFill>
            <w14:solidFill>
              <w14:schemeClr w14:val="tx1"/>
            </w14:solidFill>
          </w14:textFill>
        </w:rPr>
        <w:t>表达、信息处理和沟通协调能力，具有一定的计算、解决问题和创新能力，具有电气控制系统安装、调试能力；具有</w:t>
      </w:r>
      <w:r>
        <w:rPr>
          <w:rFonts w:hint="eastAsia" w:ascii="仿宋" w:hAnsi="仿宋" w:eastAsia="仿宋" w:cs="仿宋"/>
          <w:color w:val="000000" w:themeColor="text1"/>
          <w:spacing w:val="-4"/>
          <w:sz w:val="30"/>
          <w:szCs w:val="30"/>
          <w:highlight w:val="none"/>
          <w:lang w:val="en-US" w:eastAsia="zh-CN"/>
          <w14:textFill>
            <w14:solidFill>
              <w14:schemeClr w14:val="tx1"/>
            </w14:solidFill>
          </w14:textFill>
        </w:rPr>
        <w:t>PLC编程调试的</w:t>
      </w:r>
      <w:r>
        <w:rPr>
          <w:rFonts w:hint="eastAsia" w:ascii="仿宋" w:hAnsi="仿宋" w:eastAsia="仿宋" w:cs="仿宋"/>
          <w:color w:val="000000" w:themeColor="text1"/>
          <w:spacing w:val="-4"/>
          <w:sz w:val="30"/>
          <w:szCs w:val="30"/>
          <w:highlight w:val="none"/>
          <w:lang w:eastAsia="zh-CN"/>
          <w14:textFill>
            <w14:solidFill>
              <w14:schemeClr w14:val="tx1"/>
            </w14:solidFill>
          </w14:textFill>
        </w:rPr>
        <w:t>实际应用能力。</w:t>
      </w:r>
    </w:p>
    <w:p w14:paraId="7878E6A0">
      <w:pPr>
        <w:pStyle w:val="2"/>
        <w:bidi w:val="0"/>
        <w:rPr>
          <w:color w:val="000000" w:themeColor="text1"/>
          <w:lang w:eastAsia="zh-CN"/>
          <w14:textFill>
            <w14:solidFill>
              <w14:schemeClr w14:val="tx1"/>
            </w14:solidFill>
          </w14:textFill>
        </w:rPr>
      </w:pPr>
      <w:bookmarkStart w:id="8" w:name="_Toc31914"/>
      <w:r>
        <w:rPr>
          <w:color w:val="000000" w:themeColor="text1"/>
          <w:lang w:eastAsia="zh-CN"/>
          <w14:textFill>
            <w14:solidFill>
              <w14:schemeClr w14:val="tx1"/>
            </w14:solidFill>
          </w14:textFill>
        </w:rPr>
        <w:t>三、技术纲要</w:t>
      </w:r>
      <w:bookmarkEnd w:id="8"/>
    </w:p>
    <w:p w14:paraId="0A27D14B">
      <w:pPr>
        <w:pStyle w:val="3"/>
        <w:spacing w:before="216" w:line="192" w:lineRule="auto"/>
        <w:ind w:left="568"/>
        <w:outlineLvl w:val="1"/>
        <w:rPr>
          <w:color w:val="000000" w:themeColor="text1"/>
          <w:spacing w:val="2"/>
          <w:sz w:val="28"/>
          <w:szCs w:val="28"/>
          <w:highlight w:val="none"/>
          <w:lang w:eastAsia="zh-CN"/>
          <w14:textFill>
            <w14:solidFill>
              <w14:schemeClr w14:val="tx1"/>
            </w14:solidFill>
          </w14:textFill>
        </w:rPr>
      </w:pPr>
      <w:r>
        <w:rPr>
          <w:rFonts w:hint="eastAsia"/>
          <w:color w:val="000000" w:themeColor="text1"/>
          <w:spacing w:val="2"/>
          <w:sz w:val="28"/>
          <w:szCs w:val="28"/>
          <w:highlight w:val="none"/>
          <w:lang w:eastAsia="zh-CN"/>
          <w14:textFill>
            <w14:solidFill>
              <w14:schemeClr w14:val="tx1"/>
            </w14:solidFill>
          </w14:textFill>
        </w:rPr>
        <w:t>（一）赛制</w:t>
      </w:r>
    </w:p>
    <w:p w14:paraId="14A6FD6F">
      <w:pPr>
        <w:spacing w:line="540" w:lineRule="exact"/>
        <w:ind w:firstLine="584" w:firstLineChars="200"/>
        <w:rPr>
          <w:rFonts w:ascii="仿宋" w:hAnsi="仿宋" w:eastAsia="仿宋" w:cs="仿宋"/>
          <w:color w:val="000000" w:themeColor="text1"/>
          <w:spacing w:val="-4"/>
          <w:sz w:val="30"/>
          <w:szCs w:val="30"/>
          <w:highlight w:val="none"/>
          <w:lang w:eastAsia="zh-CN"/>
          <w14:textFill>
            <w14:solidFill>
              <w14:schemeClr w14:val="tx1"/>
            </w14:solidFill>
          </w14:textFill>
        </w:rPr>
      </w:pPr>
      <w:r>
        <w:rPr>
          <w:rFonts w:hint="eastAsia" w:ascii="仿宋" w:hAnsi="仿宋" w:eastAsia="仿宋" w:cs="仿宋"/>
          <w:color w:val="000000" w:themeColor="text1"/>
          <w:spacing w:val="-4"/>
          <w:sz w:val="30"/>
          <w:szCs w:val="30"/>
          <w:highlight w:val="none"/>
          <w:lang w:eastAsia="zh-CN"/>
          <w14:textFill>
            <w14:solidFill>
              <w14:schemeClr w14:val="tx1"/>
            </w14:solidFill>
          </w14:textFill>
        </w:rPr>
        <w:t>本赛项采用“单人赛制”。</w:t>
      </w:r>
    </w:p>
    <w:p w14:paraId="67E37D51">
      <w:pPr>
        <w:pStyle w:val="3"/>
        <w:spacing w:before="216" w:line="192" w:lineRule="auto"/>
        <w:ind w:left="568"/>
        <w:outlineLvl w:val="1"/>
        <w:rPr>
          <w:color w:val="000000" w:themeColor="text1"/>
          <w:spacing w:val="2"/>
          <w:sz w:val="28"/>
          <w:szCs w:val="28"/>
          <w:highlight w:val="none"/>
          <w:lang w:eastAsia="zh-CN"/>
          <w14:textFill>
            <w14:solidFill>
              <w14:schemeClr w14:val="tx1"/>
            </w14:solidFill>
          </w14:textFill>
        </w:rPr>
      </w:pPr>
      <w:r>
        <w:rPr>
          <w:rFonts w:hint="eastAsia"/>
          <w:color w:val="000000" w:themeColor="text1"/>
          <w:spacing w:val="2"/>
          <w:sz w:val="28"/>
          <w:szCs w:val="28"/>
          <w:highlight w:val="none"/>
          <w:lang w:eastAsia="zh-CN"/>
          <w14:textFill>
            <w14:solidFill>
              <w14:schemeClr w14:val="tx1"/>
            </w14:solidFill>
          </w14:textFill>
        </w:rPr>
        <w:t>（二）科目</w:t>
      </w:r>
    </w:p>
    <w:p w14:paraId="22B3E999">
      <w:pPr>
        <w:spacing w:line="540" w:lineRule="exact"/>
        <w:ind w:firstLine="584" w:firstLineChars="200"/>
        <w:rPr>
          <w:rFonts w:ascii="仿宋" w:hAnsi="仿宋" w:eastAsia="仿宋" w:cs="仿宋"/>
          <w:color w:val="000000" w:themeColor="text1"/>
          <w:spacing w:val="-4"/>
          <w:sz w:val="30"/>
          <w:szCs w:val="30"/>
          <w:highlight w:val="none"/>
          <w:lang w:eastAsia="zh-CN"/>
          <w14:textFill>
            <w14:solidFill>
              <w14:schemeClr w14:val="tx1"/>
            </w14:solidFill>
          </w14:textFill>
        </w:rPr>
      </w:pPr>
      <w:r>
        <w:rPr>
          <w:rFonts w:hint="eastAsia" w:ascii="仿宋" w:hAnsi="仿宋" w:eastAsia="仿宋" w:cs="仿宋"/>
          <w:color w:val="000000" w:themeColor="text1"/>
          <w:spacing w:val="-4"/>
          <w:sz w:val="30"/>
          <w:szCs w:val="30"/>
          <w:highlight w:val="none"/>
          <w:lang w:eastAsia="zh-CN"/>
          <w14:textFill>
            <w14:solidFill>
              <w14:schemeClr w14:val="tx1"/>
            </w14:solidFill>
          </w14:textFill>
        </w:rPr>
        <w:t>本赛项设“理论知识”、“操作技能”2个项目；“理论知识”科目考核时长为60分钟、“操作技能”科目考核时长为180分钟；“理论知识”科目满分为100分、“操作技能”科目满分为100分；总成绩按“理论知识科目成绩*20%+操作技能成绩*80%”计算得出，满分为100分。</w:t>
      </w:r>
    </w:p>
    <w:p w14:paraId="635F1374">
      <w:pPr>
        <w:pStyle w:val="3"/>
        <w:spacing w:before="216" w:line="192" w:lineRule="auto"/>
        <w:ind w:left="568"/>
        <w:outlineLvl w:val="1"/>
        <w:rPr>
          <w:rFonts w:hint="eastAsia" w:eastAsia="微软雅黑"/>
          <w:spacing w:val="2"/>
          <w:sz w:val="28"/>
          <w:szCs w:val="28"/>
          <w:highlight w:val="none"/>
          <w:lang w:eastAsia="zh-CN"/>
        </w:rPr>
      </w:pPr>
      <w:r>
        <w:rPr>
          <w:rFonts w:hint="eastAsia"/>
          <w:spacing w:val="2"/>
          <w:sz w:val="28"/>
          <w:szCs w:val="28"/>
          <w:highlight w:val="none"/>
          <w:lang w:eastAsia="zh-CN"/>
        </w:rPr>
        <w:t>（三）</w:t>
      </w:r>
      <w:r>
        <w:rPr>
          <w:rFonts w:hint="eastAsia"/>
          <w:spacing w:val="2"/>
          <w:sz w:val="28"/>
          <w:szCs w:val="28"/>
          <w:highlight w:val="none"/>
        </w:rPr>
        <w:t>权重表</w:t>
      </w:r>
    </w:p>
    <w:tbl>
      <w:tblPr>
        <w:tblStyle w:val="7"/>
        <w:tblpPr w:leftFromText="180" w:rightFromText="180" w:vertAnchor="text" w:horzAnchor="page" w:tblpX="3246" w:tblpY="1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1"/>
        <w:gridCol w:w="1239"/>
      </w:tblGrid>
      <w:tr w14:paraId="685EF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21" w:type="dxa"/>
          </w:tcPr>
          <w:p w14:paraId="3074A0D8">
            <w:pPr>
              <w:widowControl w:val="0"/>
              <w:spacing w:line="440" w:lineRule="exact"/>
              <w:jc w:val="center"/>
              <w:rPr>
                <w:rFonts w:ascii="仿宋" w:hAnsi="仿宋" w:eastAsia="仿宋" w:cs="仿宋"/>
                <w:b/>
                <w:snapToGrid/>
                <w:kern w:val="2"/>
                <w:sz w:val="24"/>
                <w:szCs w:val="24"/>
                <w:highlight w:val="none"/>
                <w:lang w:eastAsia="zh-CN"/>
              </w:rPr>
            </w:pPr>
            <w:r>
              <w:rPr>
                <w:rFonts w:hint="eastAsia" w:ascii="仿宋" w:hAnsi="仿宋" w:eastAsia="仿宋" w:cs="仿宋"/>
                <w:b/>
                <w:snapToGrid/>
                <w:kern w:val="2"/>
                <w:sz w:val="24"/>
                <w:szCs w:val="24"/>
                <w:highlight w:val="none"/>
                <w:lang w:eastAsia="zh-CN"/>
              </w:rPr>
              <w:t>项目</w:t>
            </w:r>
          </w:p>
        </w:tc>
        <w:tc>
          <w:tcPr>
            <w:tcW w:w="1239" w:type="dxa"/>
          </w:tcPr>
          <w:p w14:paraId="69C09C9A">
            <w:pPr>
              <w:widowControl w:val="0"/>
              <w:spacing w:line="440" w:lineRule="exact"/>
              <w:jc w:val="center"/>
              <w:rPr>
                <w:rFonts w:ascii="仿宋" w:hAnsi="仿宋" w:eastAsia="仿宋" w:cs="仿宋"/>
                <w:b/>
                <w:snapToGrid/>
                <w:kern w:val="2"/>
                <w:sz w:val="24"/>
                <w:szCs w:val="24"/>
                <w:highlight w:val="none"/>
                <w:lang w:eastAsia="zh-CN"/>
              </w:rPr>
            </w:pPr>
            <w:r>
              <w:rPr>
                <w:rFonts w:hint="eastAsia" w:ascii="仿宋" w:hAnsi="仿宋" w:eastAsia="仿宋" w:cs="仿宋"/>
                <w:b/>
                <w:snapToGrid/>
                <w:kern w:val="2"/>
                <w:sz w:val="24"/>
                <w:szCs w:val="24"/>
                <w:highlight w:val="none"/>
                <w:lang w:eastAsia="zh-CN"/>
              </w:rPr>
              <w:t>权重（%）</w:t>
            </w:r>
          </w:p>
        </w:tc>
      </w:tr>
      <w:tr w14:paraId="193C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21" w:type="dxa"/>
          </w:tcPr>
          <w:p w14:paraId="5A9B4603">
            <w:pPr>
              <w:widowControl w:val="0"/>
              <w:spacing w:line="440" w:lineRule="exact"/>
              <w:jc w:val="center"/>
              <w:rPr>
                <w:rFonts w:ascii="仿宋" w:hAnsi="仿宋" w:eastAsia="仿宋" w:cs="仿宋"/>
                <w:bCs/>
                <w:snapToGrid/>
                <w:kern w:val="2"/>
                <w:sz w:val="24"/>
                <w:szCs w:val="24"/>
                <w:highlight w:val="none"/>
                <w:lang w:eastAsia="zh-CN"/>
              </w:rPr>
            </w:pPr>
            <w:r>
              <w:rPr>
                <w:rFonts w:hint="eastAsia" w:ascii="仿宋" w:hAnsi="仿宋" w:eastAsia="仿宋" w:cs="仿宋"/>
                <w:bCs/>
                <w:snapToGrid/>
                <w:kern w:val="2"/>
                <w:sz w:val="24"/>
                <w:szCs w:val="24"/>
                <w:highlight w:val="none"/>
                <w:lang w:eastAsia="zh-CN"/>
              </w:rPr>
              <w:t>职业道德</w:t>
            </w:r>
          </w:p>
        </w:tc>
        <w:tc>
          <w:tcPr>
            <w:tcW w:w="1239" w:type="dxa"/>
          </w:tcPr>
          <w:p w14:paraId="6A02DD53">
            <w:pPr>
              <w:widowControl w:val="0"/>
              <w:spacing w:line="440" w:lineRule="exact"/>
              <w:jc w:val="center"/>
              <w:rPr>
                <w:rFonts w:ascii="仿宋" w:hAnsi="仿宋" w:eastAsia="仿宋" w:cs="仿宋"/>
                <w:bCs/>
                <w:snapToGrid/>
                <w:kern w:val="2"/>
                <w:sz w:val="24"/>
                <w:szCs w:val="24"/>
                <w:highlight w:val="none"/>
                <w:lang w:eastAsia="zh-CN"/>
              </w:rPr>
            </w:pPr>
            <w:r>
              <w:rPr>
                <w:rFonts w:hint="eastAsia" w:ascii="仿宋" w:hAnsi="仿宋" w:eastAsia="仿宋" w:cs="仿宋"/>
                <w:bCs/>
                <w:snapToGrid/>
                <w:kern w:val="2"/>
                <w:sz w:val="24"/>
                <w:szCs w:val="24"/>
                <w:highlight w:val="none"/>
                <w:lang w:eastAsia="zh-CN"/>
              </w:rPr>
              <w:t>5</w:t>
            </w:r>
          </w:p>
        </w:tc>
      </w:tr>
      <w:tr w14:paraId="1524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1" w:type="dxa"/>
          </w:tcPr>
          <w:p w14:paraId="64F24C92">
            <w:pPr>
              <w:widowControl w:val="0"/>
              <w:spacing w:line="440" w:lineRule="exact"/>
              <w:jc w:val="center"/>
              <w:rPr>
                <w:rFonts w:ascii="仿宋" w:hAnsi="仿宋" w:eastAsia="仿宋" w:cs="仿宋"/>
                <w:bCs/>
                <w:snapToGrid/>
                <w:color w:val="000000" w:themeColor="text1"/>
                <w:kern w:val="2"/>
                <w:sz w:val="24"/>
                <w:szCs w:val="24"/>
                <w:highlight w:val="none"/>
                <w:lang w:eastAsia="zh-CN"/>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eastAsia="zh-CN"/>
                <w14:textFill>
                  <w14:solidFill>
                    <w14:schemeClr w14:val="tx1"/>
                  </w14:solidFill>
                </w14:textFill>
              </w:rPr>
              <w:t>基础知识</w:t>
            </w:r>
          </w:p>
        </w:tc>
        <w:tc>
          <w:tcPr>
            <w:tcW w:w="1239" w:type="dxa"/>
          </w:tcPr>
          <w:p w14:paraId="5412ED55">
            <w:pPr>
              <w:widowControl w:val="0"/>
              <w:spacing w:line="440" w:lineRule="exact"/>
              <w:jc w:val="center"/>
              <w:rPr>
                <w:rFonts w:ascii="仿宋" w:hAnsi="仿宋" w:eastAsia="仿宋" w:cs="仿宋"/>
                <w:bCs/>
                <w:snapToGrid/>
                <w:color w:val="000000" w:themeColor="text1"/>
                <w:kern w:val="2"/>
                <w:sz w:val="24"/>
                <w:szCs w:val="24"/>
                <w:highlight w:val="none"/>
                <w:lang w:eastAsia="zh-CN"/>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eastAsia="zh-CN"/>
                <w14:textFill>
                  <w14:solidFill>
                    <w14:schemeClr w14:val="tx1"/>
                  </w14:solidFill>
                </w14:textFill>
              </w:rPr>
              <w:t>10</w:t>
            </w:r>
          </w:p>
        </w:tc>
      </w:tr>
      <w:tr w14:paraId="3CDC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1" w:type="dxa"/>
          </w:tcPr>
          <w:p w14:paraId="4C455B51">
            <w:pPr>
              <w:widowControl w:val="0"/>
              <w:spacing w:line="440" w:lineRule="exact"/>
              <w:jc w:val="center"/>
              <w:rPr>
                <w:rFonts w:ascii="仿宋" w:hAnsi="仿宋" w:eastAsia="仿宋" w:cs="仿宋"/>
                <w:bCs/>
                <w:snapToGrid/>
                <w:color w:val="000000" w:themeColor="text1"/>
                <w:kern w:val="2"/>
                <w:sz w:val="24"/>
                <w:szCs w:val="24"/>
                <w:highlight w:val="none"/>
                <w:lang w:eastAsia="zh-CN"/>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eastAsia="zh-CN"/>
                <w14:textFill>
                  <w14:solidFill>
                    <w14:schemeClr w14:val="tx1"/>
                  </w14:solidFill>
                </w14:textFill>
              </w:rPr>
              <w:t>电气设备安装</w:t>
            </w:r>
          </w:p>
        </w:tc>
        <w:tc>
          <w:tcPr>
            <w:tcW w:w="1239" w:type="dxa"/>
          </w:tcPr>
          <w:p w14:paraId="3CF27A77">
            <w:pPr>
              <w:widowControl w:val="0"/>
              <w:spacing w:line="440" w:lineRule="exact"/>
              <w:jc w:val="center"/>
              <w:rPr>
                <w:rFonts w:ascii="仿宋" w:hAnsi="仿宋" w:eastAsia="仿宋" w:cs="仿宋"/>
                <w:bCs/>
                <w:snapToGrid/>
                <w:color w:val="000000" w:themeColor="text1"/>
                <w:kern w:val="2"/>
                <w:sz w:val="24"/>
                <w:szCs w:val="24"/>
                <w:highlight w:val="none"/>
                <w:lang w:eastAsia="zh-CN"/>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eastAsia="zh-CN"/>
                <w14:textFill>
                  <w14:solidFill>
                    <w14:schemeClr w14:val="tx1"/>
                  </w14:solidFill>
                </w14:textFill>
              </w:rPr>
              <w:t>10</w:t>
            </w:r>
          </w:p>
        </w:tc>
      </w:tr>
      <w:tr w14:paraId="3A2D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1" w:type="dxa"/>
          </w:tcPr>
          <w:p w14:paraId="54D1ABD2">
            <w:pPr>
              <w:widowControl w:val="0"/>
              <w:spacing w:line="440" w:lineRule="exact"/>
              <w:jc w:val="center"/>
              <w:rPr>
                <w:rFonts w:ascii="仿宋" w:hAnsi="仿宋" w:eastAsia="仿宋" w:cs="仿宋"/>
                <w:bCs/>
                <w:snapToGrid/>
                <w:color w:val="000000" w:themeColor="text1"/>
                <w:kern w:val="2"/>
                <w:sz w:val="24"/>
                <w:szCs w:val="24"/>
                <w:highlight w:val="none"/>
                <w:lang w:eastAsia="zh-CN"/>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eastAsia="zh-CN"/>
                <w14:textFill>
                  <w14:solidFill>
                    <w14:schemeClr w14:val="tx1"/>
                  </w14:solidFill>
                </w14:textFill>
              </w:rPr>
              <w:t>电气回路连接</w:t>
            </w:r>
          </w:p>
        </w:tc>
        <w:tc>
          <w:tcPr>
            <w:tcW w:w="1239" w:type="dxa"/>
          </w:tcPr>
          <w:p w14:paraId="128E563E">
            <w:pPr>
              <w:widowControl w:val="0"/>
              <w:spacing w:line="440" w:lineRule="exact"/>
              <w:jc w:val="center"/>
              <w:rPr>
                <w:rFonts w:ascii="仿宋" w:hAnsi="仿宋" w:eastAsia="仿宋" w:cs="仿宋"/>
                <w:bCs/>
                <w:snapToGrid/>
                <w:color w:val="000000" w:themeColor="text1"/>
                <w:kern w:val="2"/>
                <w:sz w:val="24"/>
                <w:szCs w:val="24"/>
                <w:highlight w:val="none"/>
                <w:lang w:eastAsia="zh-CN"/>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eastAsia="zh-CN"/>
                <w14:textFill>
                  <w14:solidFill>
                    <w14:schemeClr w14:val="tx1"/>
                  </w14:solidFill>
                </w14:textFill>
              </w:rPr>
              <w:t>10</w:t>
            </w:r>
          </w:p>
        </w:tc>
      </w:tr>
      <w:tr w14:paraId="1A25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1" w:type="dxa"/>
          </w:tcPr>
          <w:p w14:paraId="2D6ABE86">
            <w:pPr>
              <w:widowControl w:val="0"/>
              <w:spacing w:line="440" w:lineRule="exact"/>
              <w:jc w:val="center"/>
              <w:rPr>
                <w:rFonts w:ascii="仿宋" w:hAnsi="仿宋" w:eastAsia="仿宋" w:cs="仿宋"/>
                <w:bCs/>
                <w:snapToGrid/>
                <w:color w:val="000000" w:themeColor="text1"/>
                <w:kern w:val="2"/>
                <w:sz w:val="24"/>
                <w:szCs w:val="24"/>
                <w:highlight w:val="none"/>
                <w:lang w:eastAsia="zh-CN"/>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eastAsia="zh-CN"/>
                <w14:textFill>
                  <w14:solidFill>
                    <w14:schemeClr w14:val="tx1"/>
                  </w14:solidFill>
                </w14:textFill>
              </w:rPr>
              <w:t>气动系统安装</w:t>
            </w:r>
          </w:p>
        </w:tc>
        <w:tc>
          <w:tcPr>
            <w:tcW w:w="1239" w:type="dxa"/>
          </w:tcPr>
          <w:p w14:paraId="46BACAA5">
            <w:pPr>
              <w:widowControl w:val="0"/>
              <w:spacing w:line="440" w:lineRule="exact"/>
              <w:jc w:val="center"/>
              <w:rPr>
                <w:rFonts w:ascii="仿宋" w:hAnsi="仿宋" w:eastAsia="仿宋" w:cs="仿宋"/>
                <w:bCs/>
                <w:snapToGrid/>
                <w:color w:val="000000" w:themeColor="text1"/>
                <w:kern w:val="2"/>
                <w:sz w:val="24"/>
                <w:szCs w:val="24"/>
                <w:highlight w:val="none"/>
                <w:lang w:eastAsia="zh-CN"/>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eastAsia="zh-CN"/>
                <w14:textFill>
                  <w14:solidFill>
                    <w14:schemeClr w14:val="tx1"/>
                  </w14:solidFill>
                </w14:textFill>
              </w:rPr>
              <w:t>10</w:t>
            </w:r>
          </w:p>
        </w:tc>
      </w:tr>
      <w:tr w14:paraId="2726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1" w:type="dxa"/>
          </w:tcPr>
          <w:p w14:paraId="771CCD5F">
            <w:pPr>
              <w:widowControl w:val="0"/>
              <w:spacing w:line="440" w:lineRule="exact"/>
              <w:jc w:val="center"/>
              <w:rPr>
                <w:rFonts w:hint="default" w:ascii="仿宋" w:hAnsi="仿宋" w:eastAsia="仿宋" w:cs="仿宋"/>
                <w:bCs/>
                <w:snapToGrid/>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val="en-US" w:eastAsia="zh-CN"/>
                <w14:textFill>
                  <w14:solidFill>
                    <w14:schemeClr w14:val="tx1"/>
                  </w14:solidFill>
                </w14:textFill>
              </w:rPr>
              <w:t>PLC编程</w:t>
            </w:r>
          </w:p>
        </w:tc>
        <w:tc>
          <w:tcPr>
            <w:tcW w:w="1239" w:type="dxa"/>
          </w:tcPr>
          <w:p w14:paraId="4236BE13">
            <w:pPr>
              <w:widowControl w:val="0"/>
              <w:spacing w:line="440" w:lineRule="exact"/>
              <w:jc w:val="center"/>
              <w:rPr>
                <w:rFonts w:hint="default" w:ascii="仿宋" w:hAnsi="仿宋" w:eastAsia="仿宋" w:cs="仿宋"/>
                <w:bCs/>
                <w:snapToGrid/>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val="en-US" w:eastAsia="zh-CN"/>
                <w14:textFill>
                  <w14:solidFill>
                    <w14:schemeClr w14:val="tx1"/>
                  </w14:solidFill>
                </w14:textFill>
              </w:rPr>
              <w:t>15</w:t>
            </w:r>
          </w:p>
        </w:tc>
      </w:tr>
      <w:tr w14:paraId="1D10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1" w:type="dxa"/>
          </w:tcPr>
          <w:p w14:paraId="18E4F841">
            <w:pPr>
              <w:widowControl w:val="0"/>
              <w:spacing w:line="440" w:lineRule="exact"/>
              <w:jc w:val="center"/>
              <w:rPr>
                <w:rFonts w:hint="eastAsia" w:ascii="仿宋" w:hAnsi="仿宋" w:eastAsia="仿宋" w:cs="仿宋"/>
                <w:bCs/>
                <w:snapToGrid/>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val="en-US" w:eastAsia="zh-CN"/>
                <w14:textFill>
                  <w14:solidFill>
                    <w14:schemeClr w14:val="tx1"/>
                  </w14:solidFill>
                </w14:textFill>
              </w:rPr>
              <w:t>触摸屏</w:t>
            </w:r>
          </w:p>
        </w:tc>
        <w:tc>
          <w:tcPr>
            <w:tcW w:w="1239" w:type="dxa"/>
          </w:tcPr>
          <w:p w14:paraId="696474DD">
            <w:pPr>
              <w:widowControl w:val="0"/>
              <w:spacing w:line="440" w:lineRule="exact"/>
              <w:jc w:val="center"/>
              <w:rPr>
                <w:rFonts w:hint="default" w:ascii="仿宋" w:hAnsi="仿宋" w:eastAsia="仿宋" w:cs="仿宋"/>
                <w:bCs/>
                <w:snapToGrid/>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val="en-US" w:eastAsia="zh-CN"/>
                <w14:textFill>
                  <w14:solidFill>
                    <w14:schemeClr w14:val="tx1"/>
                  </w14:solidFill>
                </w14:textFill>
              </w:rPr>
              <w:t>10</w:t>
            </w:r>
          </w:p>
        </w:tc>
      </w:tr>
      <w:tr w14:paraId="64A4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1" w:type="dxa"/>
          </w:tcPr>
          <w:p w14:paraId="7BC9A14A">
            <w:pPr>
              <w:widowControl w:val="0"/>
              <w:spacing w:line="440" w:lineRule="exact"/>
              <w:jc w:val="center"/>
              <w:rPr>
                <w:rFonts w:ascii="仿宋" w:hAnsi="仿宋" w:eastAsia="仿宋" w:cs="仿宋"/>
                <w:bCs/>
                <w:snapToGrid/>
                <w:color w:val="000000" w:themeColor="text1"/>
                <w:kern w:val="2"/>
                <w:sz w:val="24"/>
                <w:szCs w:val="24"/>
                <w:highlight w:val="none"/>
                <w:lang w:eastAsia="zh-CN"/>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eastAsia="zh-CN"/>
                <w14:textFill>
                  <w14:solidFill>
                    <w14:schemeClr w14:val="tx1"/>
                  </w14:solidFill>
                </w14:textFill>
              </w:rPr>
              <w:t>控制系统的调试</w:t>
            </w:r>
          </w:p>
        </w:tc>
        <w:tc>
          <w:tcPr>
            <w:tcW w:w="1239" w:type="dxa"/>
          </w:tcPr>
          <w:p w14:paraId="4AB2251B">
            <w:pPr>
              <w:widowControl w:val="0"/>
              <w:spacing w:line="440" w:lineRule="exact"/>
              <w:jc w:val="center"/>
              <w:rPr>
                <w:rFonts w:hint="default" w:ascii="仿宋" w:hAnsi="仿宋" w:eastAsia="仿宋" w:cs="仿宋"/>
                <w:bCs/>
                <w:snapToGrid/>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val="en-US" w:eastAsia="zh-CN"/>
                <w14:textFill>
                  <w14:solidFill>
                    <w14:schemeClr w14:val="tx1"/>
                  </w14:solidFill>
                </w14:textFill>
              </w:rPr>
              <w:t>30</w:t>
            </w:r>
          </w:p>
        </w:tc>
      </w:tr>
    </w:tbl>
    <w:p w14:paraId="01F582AB">
      <w:pPr>
        <w:spacing w:before="100" w:after="100" w:line="540" w:lineRule="exact"/>
        <w:ind w:firstLine="588" w:firstLineChars="200"/>
        <w:rPr>
          <w:rFonts w:ascii="黑体" w:hAnsi="黑体" w:eastAsia="黑体" w:cs="黑体"/>
          <w:spacing w:val="-3"/>
          <w:sz w:val="30"/>
          <w:szCs w:val="30"/>
          <w:highlight w:val="none"/>
          <w:lang w:eastAsia="zh-CN"/>
        </w:rPr>
      </w:pPr>
    </w:p>
    <w:p w14:paraId="3C921B97">
      <w:pPr>
        <w:spacing w:before="100" w:after="100" w:line="540" w:lineRule="exact"/>
        <w:ind w:firstLine="588" w:firstLineChars="200"/>
        <w:rPr>
          <w:rFonts w:ascii="黑体" w:hAnsi="黑体" w:eastAsia="黑体" w:cs="黑体"/>
          <w:spacing w:val="-3"/>
          <w:sz w:val="30"/>
          <w:szCs w:val="30"/>
          <w:highlight w:val="none"/>
          <w:lang w:eastAsia="zh-CN"/>
        </w:rPr>
      </w:pPr>
    </w:p>
    <w:p w14:paraId="7E92FBBD">
      <w:pPr>
        <w:spacing w:before="100" w:after="100" w:line="540" w:lineRule="exact"/>
        <w:ind w:firstLine="588" w:firstLineChars="200"/>
        <w:rPr>
          <w:rFonts w:ascii="黑体" w:hAnsi="黑体" w:eastAsia="黑体" w:cs="黑体"/>
          <w:spacing w:val="-3"/>
          <w:sz w:val="30"/>
          <w:szCs w:val="30"/>
          <w:highlight w:val="none"/>
          <w:lang w:eastAsia="zh-CN"/>
        </w:rPr>
      </w:pPr>
    </w:p>
    <w:p w14:paraId="481A8647">
      <w:pPr>
        <w:spacing w:before="100" w:after="100" w:line="540" w:lineRule="exact"/>
        <w:ind w:firstLine="588" w:firstLineChars="200"/>
        <w:rPr>
          <w:rFonts w:ascii="黑体" w:hAnsi="黑体" w:eastAsia="黑体" w:cs="黑体"/>
          <w:spacing w:val="-3"/>
          <w:sz w:val="30"/>
          <w:szCs w:val="30"/>
          <w:highlight w:val="none"/>
          <w:lang w:eastAsia="zh-CN"/>
        </w:rPr>
      </w:pPr>
    </w:p>
    <w:p w14:paraId="31C4A544">
      <w:pPr>
        <w:spacing w:before="100" w:after="100" w:line="540" w:lineRule="exact"/>
        <w:ind w:firstLine="588" w:firstLineChars="200"/>
        <w:rPr>
          <w:rFonts w:ascii="黑体" w:hAnsi="黑体" w:eastAsia="黑体" w:cs="黑体"/>
          <w:spacing w:val="-3"/>
          <w:sz w:val="30"/>
          <w:szCs w:val="30"/>
          <w:highlight w:val="none"/>
          <w:lang w:eastAsia="zh-CN"/>
        </w:rPr>
      </w:pPr>
    </w:p>
    <w:p w14:paraId="4D14D260">
      <w:pPr>
        <w:spacing w:before="100" w:after="100" w:line="540" w:lineRule="exact"/>
        <w:ind w:firstLine="588" w:firstLineChars="200"/>
        <w:rPr>
          <w:rFonts w:ascii="黑体" w:hAnsi="黑体" w:eastAsia="黑体" w:cs="黑体"/>
          <w:spacing w:val="-3"/>
          <w:sz w:val="30"/>
          <w:szCs w:val="30"/>
          <w:highlight w:val="none"/>
          <w:lang w:eastAsia="zh-CN"/>
        </w:rPr>
      </w:pPr>
    </w:p>
    <w:p w14:paraId="6333AC27">
      <w:pPr>
        <w:spacing w:before="100" w:after="100" w:line="540" w:lineRule="exact"/>
        <w:ind w:firstLine="588" w:firstLineChars="200"/>
        <w:rPr>
          <w:rFonts w:ascii="黑体" w:hAnsi="黑体" w:eastAsia="黑体" w:cs="黑体"/>
          <w:spacing w:val="-3"/>
          <w:sz w:val="30"/>
          <w:szCs w:val="30"/>
          <w:highlight w:val="none"/>
          <w:lang w:eastAsia="zh-CN"/>
        </w:rPr>
      </w:pPr>
    </w:p>
    <w:p w14:paraId="5060BF0D">
      <w:pPr>
        <w:pStyle w:val="2"/>
        <w:bidi w:val="0"/>
        <w:rPr>
          <w:lang w:eastAsia="zh-CN"/>
        </w:rPr>
      </w:pPr>
      <w:bookmarkStart w:id="9" w:name="_Toc23575"/>
      <w:r>
        <w:rPr>
          <w:lang w:eastAsia="zh-CN"/>
        </w:rPr>
        <w:t>四、场地设施设备简述</w:t>
      </w:r>
      <w:bookmarkEnd w:id="9"/>
    </w:p>
    <w:p w14:paraId="65768560">
      <w:pPr>
        <w:pStyle w:val="3"/>
        <w:spacing w:before="216" w:line="192" w:lineRule="auto"/>
        <w:ind w:left="568"/>
        <w:outlineLvl w:val="1"/>
        <w:rPr>
          <w:spacing w:val="2"/>
          <w:sz w:val="28"/>
          <w:szCs w:val="28"/>
          <w:highlight w:val="none"/>
          <w:lang w:eastAsia="zh-CN"/>
        </w:rPr>
      </w:pPr>
      <w:r>
        <w:rPr>
          <w:rFonts w:hint="eastAsia"/>
          <w:spacing w:val="2"/>
          <w:sz w:val="28"/>
          <w:szCs w:val="28"/>
          <w:highlight w:val="none"/>
          <w:lang w:eastAsia="zh-CN"/>
        </w:rPr>
        <w:t>（一）场地规模</w:t>
      </w:r>
    </w:p>
    <w:p w14:paraId="36991794">
      <w:pPr>
        <w:spacing w:line="540" w:lineRule="exact"/>
        <w:ind w:firstLine="584" w:firstLineChars="200"/>
        <w:rPr>
          <w:rFonts w:hint="eastAsia" w:ascii="仿宋" w:hAnsi="仿宋" w:eastAsia="仿宋" w:cs="仿宋"/>
          <w:color w:val="auto"/>
          <w:spacing w:val="-4"/>
          <w:sz w:val="30"/>
          <w:szCs w:val="30"/>
          <w:highlight w:val="none"/>
          <w:lang w:eastAsia="zh-CN"/>
        </w:rPr>
      </w:pPr>
      <w:r>
        <w:rPr>
          <w:rFonts w:hint="eastAsia" w:ascii="仿宋" w:hAnsi="仿宋" w:eastAsia="仿宋" w:cs="仿宋"/>
          <w:color w:val="auto"/>
          <w:spacing w:val="-4"/>
          <w:sz w:val="30"/>
          <w:szCs w:val="30"/>
          <w:highlight w:val="none"/>
          <w:lang w:eastAsia="zh-CN"/>
        </w:rPr>
        <w:t>本赛项在江苏省南通中等专业学校举行，赛场占地总面积为</w:t>
      </w:r>
      <w:r>
        <w:rPr>
          <w:rFonts w:hint="eastAsia" w:ascii="仿宋" w:hAnsi="仿宋" w:eastAsia="仿宋" w:cs="仿宋"/>
          <w:color w:val="auto"/>
          <w:spacing w:val="-4"/>
          <w:sz w:val="30"/>
          <w:szCs w:val="30"/>
          <w:highlight w:val="none"/>
          <w:lang w:val="en-US" w:eastAsia="zh-CN"/>
        </w:rPr>
        <w:t>4</w:t>
      </w:r>
      <w:r>
        <w:rPr>
          <w:rFonts w:ascii="仿宋" w:hAnsi="仿宋" w:eastAsia="仿宋" w:cs="仿宋"/>
          <w:color w:val="auto"/>
          <w:spacing w:val="-4"/>
          <w:sz w:val="30"/>
          <w:szCs w:val="30"/>
          <w:highlight w:val="none"/>
          <w:lang w:eastAsia="zh-CN"/>
        </w:rPr>
        <w:t>00</w:t>
      </w:r>
      <w:r>
        <w:rPr>
          <w:rFonts w:hint="eastAsia" w:ascii="仿宋" w:hAnsi="仿宋" w:eastAsia="仿宋" w:cs="仿宋"/>
          <w:color w:val="auto"/>
          <w:spacing w:val="-4"/>
          <w:sz w:val="30"/>
          <w:szCs w:val="30"/>
          <w:highlight w:val="none"/>
          <w:lang w:eastAsia="zh-CN"/>
        </w:rPr>
        <w:t>平方米，划分为“选手答题区、裁判人员工作区、技术支持人员工作区、仲裁人员工作区、医务人员工作区、志愿者工作区”6个区域。</w:t>
      </w:r>
    </w:p>
    <w:p w14:paraId="3162F26D">
      <w:pPr>
        <w:pStyle w:val="3"/>
        <w:spacing w:before="216" w:line="192" w:lineRule="auto"/>
        <w:ind w:left="568"/>
        <w:rPr>
          <w:color w:val="000000" w:themeColor="text1"/>
          <w:spacing w:val="2"/>
          <w:sz w:val="28"/>
          <w:szCs w:val="28"/>
          <w:highlight w:val="none"/>
          <w14:textFill>
            <w14:solidFill>
              <w14:schemeClr w14:val="tx1"/>
            </w14:solidFill>
          </w14:textFill>
        </w:rPr>
      </w:pPr>
      <w:r>
        <w:rPr>
          <w:rFonts w:hint="eastAsia"/>
          <w:color w:val="000000" w:themeColor="text1"/>
          <w:spacing w:val="2"/>
          <w:sz w:val="28"/>
          <w:szCs w:val="28"/>
          <w:highlight w:val="none"/>
          <w14:textFill>
            <w14:solidFill>
              <w14:schemeClr w14:val="tx1"/>
            </w14:solidFill>
          </w14:textFill>
        </w:rPr>
        <w:t>（二）设施条件</w:t>
      </w:r>
    </w:p>
    <w:tbl>
      <w:tblPr>
        <w:tblStyle w:val="10"/>
        <w:tblW w:w="8849" w:type="dxa"/>
        <w:tblInd w:w="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
        <w:gridCol w:w="4242"/>
        <w:gridCol w:w="3593"/>
      </w:tblGrid>
      <w:tr w14:paraId="24964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014" w:type="dxa"/>
            <w:tcBorders>
              <w:top w:val="single" w:color="000000" w:sz="10" w:space="0"/>
              <w:left w:val="single" w:color="000000" w:sz="10" w:space="0"/>
            </w:tcBorders>
          </w:tcPr>
          <w:p w14:paraId="4929572F">
            <w:pPr>
              <w:spacing w:before="44"/>
              <w:ind w:left="254"/>
              <w:rPr>
                <w:rFonts w:ascii="黑体" w:hAnsi="黑体" w:eastAsia="黑体" w:cs="黑体"/>
                <w:color w:val="000000" w:themeColor="text1"/>
                <w:sz w:val="23"/>
                <w:szCs w:val="23"/>
                <w:highlight w:val="none"/>
                <w14:textFill>
                  <w14:solidFill>
                    <w14:schemeClr w14:val="tx1"/>
                  </w14:solidFill>
                </w14:textFill>
              </w:rPr>
            </w:pPr>
            <w:r>
              <w:rPr>
                <w:rFonts w:ascii="黑体" w:hAnsi="黑体" w:eastAsia="黑体" w:cs="黑体"/>
                <w:color w:val="000000" w:themeColor="text1"/>
                <w:spacing w:val="7"/>
                <w:sz w:val="23"/>
                <w:szCs w:val="23"/>
                <w:highlight w:val="none"/>
                <w14:textFill>
                  <w14:solidFill>
                    <w14:schemeClr w14:val="tx1"/>
                  </w14:solidFill>
                </w14:textFill>
              </w:rPr>
              <w:t>序号</w:t>
            </w:r>
          </w:p>
        </w:tc>
        <w:tc>
          <w:tcPr>
            <w:tcW w:w="4242" w:type="dxa"/>
            <w:tcBorders>
              <w:top w:val="single" w:color="000000" w:sz="10" w:space="0"/>
            </w:tcBorders>
          </w:tcPr>
          <w:p w14:paraId="59851770">
            <w:pPr>
              <w:spacing w:before="44"/>
              <w:ind w:left="1888"/>
              <w:rPr>
                <w:rFonts w:ascii="黑体" w:hAnsi="黑体" w:eastAsia="黑体" w:cs="黑体"/>
                <w:color w:val="000000" w:themeColor="text1"/>
                <w:sz w:val="23"/>
                <w:szCs w:val="23"/>
                <w:highlight w:val="none"/>
                <w14:textFill>
                  <w14:solidFill>
                    <w14:schemeClr w14:val="tx1"/>
                  </w14:solidFill>
                </w14:textFill>
              </w:rPr>
            </w:pPr>
            <w:r>
              <w:rPr>
                <w:rFonts w:ascii="黑体" w:hAnsi="黑体" w:eastAsia="黑体" w:cs="黑体"/>
                <w:color w:val="000000" w:themeColor="text1"/>
                <w:spacing w:val="2"/>
                <w:sz w:val="23"/>
                <w:szCs w:val="23"/>
                <w:highlight w:val="none"/>
                <w14:textFill>
                  <w14:solidFill>
                    <w14:schemeClr w14:val="tx1"/>
                  </w14:solidFill>
                </w14:textFill>
              </w:rPr>
              <w:t>类别</w:t>
            </w:r>
          </w:p>
        </w:tc>
        <w:tc>
          <w:tcPr>
            <w:tcW w:w="3593" w:type="dxa"/>
            <w:tcBorders>
              <w:top w:val="single" w:color="000000" w:sz="10" w:space="0"/>
              <w:right w:val="single" w:color="000000" w:sz="10" w:space="0"/>
            </w:tcBorders>
          </w:tcPr>
          <w:p w14:paraId="0093E9AE">
            <w:pPr>
              <w:spacing w:before="44"/>
              <w:ind w:left="1560"/>
              <w:rPr>
                <w:rFonts w:ascii="黑体" w:hAnsi="黑体" w:eastAsia="黑体" w:cs="黑体"/>
                <w:color w:val="000000" w:themeColor="text1"/>
                <w:sz w:val="23"/>
                <w:szCs w:val="23"/>
                <w:highlight w:val="none"/>
                <w14:textFill>
                  <w14:solidFill>
                    <w14:schemeClr w14:val="tx1"/>
                  </w14:solidFill>
                </w14:textFill>
              </w:rPr>
            </w:pPr>
            <w:r>
              <w:rPr>
                <w:rFonts w:ascii="黑体" w:hAnsi="黑体" w:eastAsia="黑体" w:cs="黑体"/>
                <w:color w:val="000000" w:themeColor="text1"/>
                <w:spacing w:val="5"/>
                <w:sz w:val="23"/>
                <w:szCs w:val="23"/>
                <w:highlight w:val="none"/>
                <w14:textFill>
                  <w14:solidFill>
                    <w14:schemeClr w14:val="tx1"/>
                  </w14:solidFill>
                </w14:textFill>
              </w:rPr>
              <w:t>参数</w:t>
            </w:r>
          </w:p>
        </w:tc>
      </w:tr>
      <w:tr w14:paraId="08E11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14" w:type="dxa"/>
            <w:tcBorders>
              <w:left w:val="single" w:color="000000" w:sz="10" w:space="0"/>
            </w:tcBorders>
          </w:tcPr>
          <w:p w14:paraId="7A10495F">
            <w:pPr>
              <w:spacing w:before="78" w:line="195" w:lineRule="auto"/>
              <w:ind w:left="457"/>
              <w:rPr>
                <w:rFonts w:ascii="Times New Roman" w:hAnsi="Times New Roman" w:eastAsia="Times New Roman" w:cs="Times New Roman"/>
                <w:color w:val="000000" w:themeColor="text1"/>
                <w:sz w:val="23"/>
                <w:szCs w:val="23"/>
                <w:highlight w:val="none"/>
                <w14:textFill>
                  <w14:solidFill>
                    <w14:schemeClr w14:val="tx1"/>
                  </w14:solidFill>
                </w14:textFill>
              </w:rPr>
            </w:pPr>
            <w:r>
              <w:rPr>
                <w:rFonts w:ascii="Times New Roman" w:hAnsi="Times New Roman" w:eastAsia="Times New Roman" w:cs="Times New Roman"/>
                <w:color w:val="000000" w:themeColor="text1"/>
                <w:sz w:val="23"/>
                <w:szCs w:val="23"/>
                <w:highlight w:val="none"/>
                <w14:textFill>
                  <w14:solidFill>
                    <w14:schemeClr w14:val="tx1"/>
                  </w14:solidFill>
                </w14:textFill>
              </w:rPr>
              <w:t>1</w:t>
            </w:r>
          </w:p>
        </w:tc>
        <w:tc>
          <w:tcPr>
            <w:tcW w:w="4242" w:type="dxa"/>
          </w:tcPr>
          <w:p w14:paraId="1CA905A9">
            <w:pPr>
              <w:spacing w:before="39" w:line="209" w:lineRule="auto"/>
              <w:ind w:left="1675"/>
              <w:rPr>
                <w:rFonts w:ascii="仿宋" w:hAnsi="仿宋" w:eastAsia="仿宋" w:cs="仿宋"/>
                <w:color w:val="000000" w:themeColor="text1"/>
                <w:sz w:val="23"/>
                <w:szCs w:val="23"/>
                <w:highlight w:val="none"/>
                <w14:textFill>
                  <w14:solidFill>
                    <w14:schemeClr w14:val="tx1"/>
                  </w14:solidFill>
                </w14:textFill>
              </w:rPr>
            </w:pPr>
            <w:r>
              <w:rPr>
                <w:rFonts w:ascii="仿宋" w:hAnsi="仿宋" w:eastAsia="仿宋" w:cs="仿宋"/>
                <w:color w:val="000000" w:themeColor="text1"/>
                <w:spacing w:val="-1"/>
                <w:sz w:val="23"/>
                <w:szCs w:val="23"/>
                <w:highlight w:val="none"/>
                <w14:textFill>
                  <w14:solidFill>
                    <w14:schemeClr w14:val="tx1"/>
                  </w14:solidFill>
                </w14:textFill>
              </w:rPr>
              <w:t>电力设施</w:t>
            </w:r>
          </w:p>
        </w:tc>
        <w:tc>
          <w:tcPr>
            <w:tcW w:w="3593" w:type="dxa"/>
            <w:tcBorders>
              <w:right w:val="single" w:color="000000" w:sz="10" w:space="0"/>
            </w:tcBorders>
          </w:tcPr>
          <w:p w14:paraId="5784F5AC">
            <w:pPr>
              <w:spacing w:before="39" w:line="209" w:lineRule="auto"/>
              <w:ind w:left="1140"/>
              <w:rPr>
                <w:rFonts w:ascii="仿宋" w:hAnsi="仿宋" w:eastAsia="仿宋" w:cs="仿宋"/>
                <w:color w:val="000000" w:themeColor="text1"/>
                <w:sz w:val="23"/>
                <w:szCs w:val="23"/>
                <w:highlight w:val="none"/>
                <w14:textFill>
                  <w14:solidFill>
                    <w14:schemeClr w14:val="tx1"/>
                  </w14:solidFill>
                </w14:textFill>
              </w:rPr>
            </w:pPr>
            <w:r>
              <w:rPr>
                <w:rFonts w:hint="eastAsia" w:ascii="Times New Roman" w:hAnsi="Times New Roman" w:eastAsia="宋体" w:cs="Times New Roman"/>
                <w:color w:val="000000" w:themeColor="text1"/>
                <w:spacing w:val="2"/>
                <w:sz w:val="23"/>
                <w:szCs w:val="23"/>
                <w:highlight w:val="none"/>
                <w:lang w:eastAsia="zh-CN"/>
                <w14:textFill>
                  <w14:solidFill>
                    <w14:schemeClr w14:val="tx1"/>
                  </w14:solidFill>
                </w14:textFill>
              </w:rPr>
              <w:t>三相</w:t>
            </w:r>
            <w:r>
              <w:rPr>
                <w:rFonts w:hint="eastAsia" w:ascii="Times New Roman" w:hAnsi="Times New Roman" w:eastAsia="宋体" w:cs="Times New Roman"/>
                <w:color w:val="000000" w:themeColor="text1"/>
                <w:spacing w:val="2"/>
                <w:sz w:val="23"/>
                <w:szCs w:val="23"/>
                <w:highlight w:val="none"/>
                <w:lang w:val="en-US" w:eastAsia="zh-CN"/>
                <w14:textFill>
                  <w14:solidFill>
                    <w14:schemeClr w14:val="tx1"/>
                  </w14:solidFill>
                </w14:textFill>
              </w:rPr>
              <w:t>5线</w:t>
            </w:r>
            <w:r>
              <w:rPr>
                <w:rFonts w:ascii="仿宋" w:hAnsi="仿宋" w:eastAsia="仿宋" w:cs="仿宋"/>
                <w:color w:val="000000" w:themeColor="text1"/>
                <w:spacing w:val="2"/>
                <w:sz w:val="23"/>
                <w:szCs w:val="23"/>
                <w:highlight w:val="none"/>
                <w14:textFill>
                  <w14:solidFill>
                    <w14:schemeClr w14:val="tx1"/>
                  </w14:solidFill>
                </w14:textFill>
              </w:rPr>
              <w:t>商用电</w:t>
            </w:r>
          </w:p>
        </w:tc>
      </w:tr>
      <w:tr w14:paraId="6C8EA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14" w:type="dxa"/>
            <w:tcBorders>
              <w:left w:val="single" w:color="000000" w:sz="10" w:space="0"/>
            </w:tcBorders>
          </w:tcPr>
          <w:p w14:paraId="71BEB3C9">
            <w:pPr>
              <w:spacing w:before="85" w:line="195" w:lineRule="auto"/>
              <w:ind w:left="434"/>
              <w:rPr>
                <w:rFonts w:ascii="Times New Roman" w:hAnsi="Times New Roman" w:eastAsia="Times New Roman" w:cs="Times New Roman"/>
                <w:color w:val="000000" w:themeColor="text1"/>
                <w:sz w:val="23"/>
                <w:szCs w:val="23"/>
                <w:highlight w:val="none"/>
                <w14:textFill>
                  <w14:solidFill>
                    <w14:schemeClr w14:val="tx1"/>
                  </w14:solidFill>
                </w14:textFill>
              </w:rPr>
            </w:pPr>
            <w:r>
              <w:rPr>
                <w:rFonts w:ascii="Times New Roman" w:hAnsi="Times New Roman" w:eastAsia="Times New Roman" w:cs="Times New Roman"/>
                <w:color w:val="000000" w:themeColor="text1"/>
                <w:sz w:val="23"/>
                <w:szCs w:val="23"/>
                <w:highlight w:val="none"/>
                <w14:textFill>
                  <w14:solidFill>
                    <w14:schemeClr w14:val="tx1"/>
                  </w14:solidFill>
                </w14:textFill>
              </w:rPr>
              <w:t>2</w:t>
            </w:r>
          </w:p>
        </w:tc>
        <w:tc>
          <w:tcPr>
            <w:tcW w:w="4242" w:type="dxa"/>
          </w:tcPr>
          <w:p w14:paraId="6F4066B6">
            <w:pPr>
              <w:spacing w:before="46" w:line="204" w:lineRule="auto"/>
              <w:ind w:left="1655"/>
              <w:rPr>
                <w:rFonts w:ascii="仿宋" w:hAnsi="仿宋" w:eastAsia="仿宋" w:cs="仿宋"/>
                <w:color w:val="000000" w:themeColor="text1"/>
                <w:sz w:val="23"/>
                <w:szCs w:val="23"/>
                <w:highlight w:val="none"/>
                <w14:textFill>
                  <w14:solidFill>
                    <w14:schemeClr w14:val="tx1"/>
                  </w14:solidFill>
                </w14:textFill>
              </w:rPr>
            </w:pPr>
            <w:r>
              <w:rPr>
                <w:rFonts w:ascii="仿宋" w:hAnsi="仿宋" w:eastAsia="仿宋" w:cs="仿宋"/>
                <w:color w:val="000000" w:themeColor="text1"/>
                <w:spacing w:val="4"/>
                <w:sz w:val="23"/>
                <w:szCs w:val="23"/>
                <w:highlight w:val="none"/>
                <w14:textFill>
                  <w14:solidFill>
                    <w14:schemeClr w14:val="tx1"/>
                  </w14:solidFill>
                </w14:textFill>
              </w:rPr>
              <w:t>照明设施</w:t>
            </w:r>
          </w:p>
        </w:tc>
        <w:tc>
          <w:tcPr>
            <w:tcW w:w="3593" w:type="dxa"/>
            <w:tcBorders>
              <w:right w:val="single" w:color="000000" w:sz="10" w:space="0"/>
            </w:tcBorders>
          </w:tcPr>
          <w:p w14:paraId="492E2379">
            <w:pPr>
              <w:spacing w:before="46" w:line="204" w:lineRule="auto"/>
              <w:ind w:left="1003"/>
              <w:rPr>
                <w:rFonts w:ascii="仿宋" w:hAnsi="仿宋" w:eastAsia="仿宋" w:cs="仿宋"/>
                <w:color w:val="000000" w:themeColor="text1"/>
                <w:sz w:val="23"/>
                <w:szCs w:val="23"/>
                <w:highlight w:val="none"/>
                <w14:textFill>
                  <w14:solidFill>
                    <w14:schemeClr w14:val="tx1"/>
                  </w14:solidFill>
                </w14:textFill>
              </w:rPr>
            </w:pPr>
            <w:r>
              <w:rPr>
                <w:rFonts w:ascii="Times New Roman" w:hAnsi="Times New Roman" w:eastAsia="Times New Roman" w:cs="Times New Roman"/>
                <w:color w:val="000000" w:themeColor="text1"/>
                <w:spacing w:val="2"/>
                <w:sz w:val="23"/>
                <w:szCs w:val="23"/>
                <w:highlight w:val="none"/>
                <w14:textFill>
                  <w14:solidFill>
                    <w14:schemeClr w14:val="tx1"/>
                  </w14:solidFill>
                </w14:textFill>
              </w:rPr>
              <w:t>9-11W/M2</w:t>
            </w:r>
            <w:r>
              <w:rPr>
                <w:rFonts w:ascii="仿宋" w:hAnsi="仿宋" w:eastAsia="仿宋" w:cs="仿宋"/>
                <w:color w:val="000000" w:themeColor="text1"/>
                <w:spacing w:val="2"/>
                <w:sz w:val="23"/>
                <w:szCs w:val="23"/>
                <w:highlight w:val="none"/>
                <w14:textFill>
                  <w14:solidFill>
                    <w14:schemeClr w14:val="tx1"/>
                  </w14:solidFill>
                </w14:textFill>
              </w:rPr>
              <w:t>标准</w:t>
            </w:r>
          </w:p>
        </w:tc>
      </w:tr>
      <w:tr w14:paraId="3B37D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014" w:type="dxa"/>
            <w:tcBorders>
              <w:left w:val="single" w:color="000000" w:sz="10" w:space="0"/>
              <w:bottom w:val="single" w:color="000000" w:sz="10" w:space="0"/>
            </w:tcBorders>
          </w:tcPr>
          <w:p w14:paraId="087D918F">
            <w:pPr>
              <w:spacing w:before="91" w:line="194" w:lineRule="auto"/>
              <w:ind w:left="439"/>
              <w:rPr>
                <w:rFonts w:ascii="Times New Roman" w:hAnsi="Times New Roman" w:eastAsia="Times New Roman" w:cs="Times New Roman"/>
                <w:color w:val="000000" w:themeColor="text1"/>
                <w:sz w:val="23"/>
                <w:szCs w:val="23"/>
                <w:highlight w:val="none"/>
                <w14:textFill>
                  <w14:solidFill>
                    <w14:schemeClr w14:val="tx1"/>
                  </w14:solidFill>
                </w14:textFill>
              </w:rPr>
            </w:pPr>
            <w:r>
              <w:rPr>
                <w:rFonts w:ascii="Times New Roman" w:hAnsi="Times New Roman" w:eastAsia="Times New Roman" w:cs="Times New Roman"/>
                <w:color w:val="000000" w:themeColor="text1"/>
                <w:sz w:val="23"/>
                <w:szCs w:val="23"/>
                <w:highlight w:val="none"/>
                <w14:textFill>
                  <w14:solidFill>
                    <w14:schemeClr w14:val="tx1"/>
                  </w14:solidFill>
                </w14:textFill>
              </w:rPr>
              <w:t>3</w:t>
            </w:r>
          </w:p>
        </w:tc>
        <w:tc>
          <w:tcPr>
            <w:tcW w:w="4242" w:type="dxa"/>
            <w:tcBorders>
              <w:bottom w:val="single" w:color="000000" w:sz="10" w:space="0"/>
            </w:tcBorders>
          </w:tcPr>
          <w:p w14:paraId="09A78FC3">
            <w:pPr>
              <w:spacing w:before="49" w:line="218" w:lineRule="auto"/>
              <w:ind w:left="1675"/>
              <w:rPr>
                <w:rFonts w:ascii="仿宋" w:hAnsi="仿宋" w:eastAsia="仿宋" w:cs="仿宋"/>
                <w:color w:val="000000" w:themeColor="text1"/>
                <w:sz w:val="23"/>
                <w:szCs w:val="23"/>
                <w:highlight w:val="none"/>
                <w14:textFill>
                  <w14:solidFill>
                    <w14:schemeClr w14:val="tx1"/>
                  </w14:solidFill>
                </w14:textFill>
              </w:rPr>
            </w:pPr>
            <w:r>
              <w:rPr>
                <w:rFonts w:ascii="仿宋" w:hAnsi="仿宋" w:eastAsia="仿宋" w:cs="仿宋"/>
                <w:color w:val="000000" w:themeColor="text1"/>
                <w:spacing w:val="-1"/>
                <w:sz w:val="23"/>
                <w:szCs w:val="23"/>
                <w:highlight w:val="none"/>
                <w14:textFill>
                  <w14:solidFill>
                    <w14:schemeClr w14:val="tx1"/>
                  </w14:solidFill>
                </w14:textFill>
              </w:rPr>
              <w:t>网络设施</w:t>
            </w:r>
          </w:p>
        </w:tc>
        <w:tc>
          <w:tcPr>
            <w:tcW w:w="3593" w:type="dxa"/>
            <w:tcBorders>
              <w:bottom w:val="single" w:color="000000" w:sz="10" w:space="0"/>
              <w:right w:val="single" w:color="000000" w:sz="10" w:space="0"/>
            </w:tcBorders>
          </w:tcPr>
          <w:p w14:paraId="13F90AD2">
            <w:pPr>
              <w:spacing w:before="49" w:line="218" w:lineRule="auto"/>
              <w:ind w:left="1333"/>
              <w:rPr>
                <w:rFonts w:ascii="仿宋" w:hAnsi="仿宋" w:eastAsia="仿宋" w:cs="仿宋"/>
                <w:color w:val="000000" w:themeColor="text1"/>
                <w:sz w:val="23"/>
                <w:szCs w:val="23"/>
                <w:highlight w:val="none"/>
                <w14:textFill>
                  <w14:solidFill>
                    <w14:schemeClr w14:val="tx1"/>
                  </w14:solidFill>
                </w14:textFill>
              </w:rPr>
            </w:pPr>
            <w:r>
              <w:rPr>
                <w:rFonts w:ascii="仿宋" w:hAnsi="仿宋" w:eastAsia="仿宋" w:cs="仿宋"/>
                <w:color w:val="000000" w:themeColor="text1"/>
                <w:spacing w:val="4"/>
                <w:sz w:val="23"/>
                <w:szCs w:val="23"/>
                <w:highlight w:val="none"/>
                <w14:textFill>
                  <w14:solidFill>
                    <w14:schemeClr w14:val="tx1"/>
                  </w14:solidFill>
                </w14:textFill>
              </w:rPr>
              <w:t>千兆光纤</w:t>
            </w:r>
          </w:p>
        </w:tc>
      </w:tr>
    </w:tbl>
    <w:p w14:paraId="697114E0">
      <w:pPr>
        <w:pStyle w:val="3"/>
        <w:spacing w:before="216" w:line="192" w:lineRule="auto"/>
        <w:ind w:left="568"/>
        <w:rPr>
          <w:color w:val="000000" w:themeColor="text1"/>
          <w:spacing w:val="2"/>
          <w:sz w:val="28"/>
          <w:szCs w:val="28"/>
          <w:highlight w:val="none"/>
          <w14:textFill>
            <w14:solidFill>
              <w14:schemeClr w14:val="tx1"/>
            </w14:solidFill>
          </w14:textFill>
        </w:rPr>
      </w:pPr>
      <w:r>
        <w:rPr>
          <w:rFonts w:hint="eastAsia"/>
          <w:color w:val="000000" w:themeColor="text1"/>
          <w:spacing w:val="2"/>
          <w:sz w:val="28"/>
          <w:szCs w:val="28"/>
          <w:highlight w:val="none"/>
          <w14:textFill>
            <w14:solidFill>
              <w14:schemeClr w14:val="tx1"/>
            </w14:solidFill>
          </w14:textFill>
        </w:rPr>
        <w:t>（三）设备条件</w:t>
      </w:r>
    </w:p>
    <w:tbl>
      <w:tblPr>
        <w:tblStyle w:val="10"/>
        <w:tblW w:w="8804" w:type="dxa"/>
        <w:tblInd w:w="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9"/>
        <w:gridCol w:w="4220"/>
        <w:gridCol w:w="3575"/>
      </w:tblGrid>
      <w:tr w14:paraId="2EC32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009" w:type="dxa"/>
            <w:tcBorders>
              <w:top w:val="single" w:color="000000" w:sz="10" w:space="0"/>
              <w:left w:val="single" w:color="000000" w:sz="10" w:space="0"/>
            </w:tcBorders>
          </w:tcPr>
          <w:p w14:paraId="12A4ED21">
            <w:pPr>
              <w:spacing w:before="49" w:line="306" w:lineRule="exact"/>
              <w:ind w:left="254"/>
              <w:rPr>
                <w:rFonts w:ascii="黑体" w:hAnsi="黑体" w:eastAsia="黑体" w:cs="黑体"/>
                <w:color w:val="000000" w:themeColor="text1"/>
                <w:sz w:val="23"/>
                <w:szCs w:val="23"/>
                <w:highlight w:val="none"/>
                <w14:textFill>
                  <w14:solidFill>
                    <w14:schemeClr w14:val="tx1"/>
                  </w14:solidFill>
                </w14:textFill>
              </w:rPr>
            </w:pPr>
            <w:r>
              <w:rPr>
                <w:rFonts w:ascii="黑体" w:hAnsi="黑体" w:eastAsia="黑体" w:cs="黑体"/>
                <w:color w:val="000000" w:themeColor="text1"/>
                <w:spacing w:val="7"/>
                <w:position w:val="1"/>
                <w:sz w:val="23"/>
                <w:szCs w:val="23"/>
                <w:highlight w:val="none"/>
                <w14:textFill>
                  <w14:solidFill>
                    <w14:schemeClr w14:val="tx1"/>
                  </w14:solidFill>
                </w14:textFill>
              </w:rPr>
              <w:t>序号</w:t>
            </w:r>
          </w:p>
        </w:tc>
        <w:tc>
          <w:tcPr>
            <w:tcW w:w="4220" w:type="dxa"/>
            <w:tcBorders>
              <w:top w:val="single" w:color="000000" w:sz="10" w:space="0"/>
            </w:tcBorders>
          </w:tcPr>
          <w:p w14:paraId="304ED268">
            <w:pPr>
              <w:spacing w:before="49" w:line="306" w:lineRule="exact"/>
              <w:ind w:left="1871"/>
              <w:rPr>
                <w:rFonts w:ascii="黑体" w:hAnsi="黑体" w:eastAsia="黑体" w:cs="黑体"/>
                <w:color w:val="000000" w:themeColor="text1"/>
                <w:sz w:val="23"/>
                <w:szCs w:val="23"/>
                <w:highlight w:val="none"/>
                <w14:textFill>
                  <w14:solidFill>
                    <w14:schemeClr w14:val="tx1"/>
                  </w14:solidFill>
                </w14:textFill>
              </w:rPr>
            </w:pPr>
            <w:r>
              <w:rPr>
                <w:rFonts w:ascii="黑体" w:hAnsi="黑体" w:eastAsia="黑体" w:cs="黑体"/>
                <w:color w:val="000000" w:themeColor="text1"/>
                <w:spacing w:val="4"/>
                <w:position w:val="1"/>
                <w:sz w:val="23"/>
                <w:szCs w:val="23"/>
                <w:highlight w:val="none"/>
                <w14:textFill>
                  <w14:solidFill>
                    <w14:schemeClr w14:val="tx1"/>
                  </w14:solidFill>
                </w14:textFill>
              </w:rPr>
              <w:t>名称</w:t>
            </w:r>
          </w:p>
        </w:tc>
        <w:tc>
          <w:tcPr>
            <w:tcW w:w="3575" w:type="dxa"/>
            <w:tcBorders>
              <w:top w:val="single" w:color="000000" w:sz="10" w:space="0"/>
              <w:right w:val="single" w:color="000000" w:sz="10" w:space="0"/>
            </w:tcBorders>
          </w:tcPr>
          <w:p w14:paraId="5EDBD588">
            <w:pPr>
              <w:spacing w:before="49" w:line="306" w:lineRule="exact"/>
              <w:ind w:left="1550"/>
              <w:rPr>
                <w:rFonts w:ascii="黑体" w:hAnsi="黑体" w:eastAsia="黑体" w:cs="黑体"/>
                <w:color w:val="000000" w:themeColor="text1"/>
                <w:sz w:val="23"/>
                <w:szCs w:val="23"/>
                <w:highlight w:val="none"/>
                <w14:textFill>
                  <w14:solidFill>
                    <w14:schemeClr w14:val="tx1"/>
                  </w14:solidFill>
                </w14:textFill>
              </w:rPr>
            </w:pPr>
            <w:r>
              <w:rPr>
                <w:rFonts w:ascii="黑体" w:hAnsi="黑体" w:eastAsia="黑体" w:cs="黑体"/>
                <w:color w:val="000000" w:themeColor="text1"/>
                <w:spacing w:val="6"/>
                <w:position w:val="1"/>
                <w:sz w:val="23"/>
                <w:szCs w:val="23"/>
                <w:highlight w:val="none"/>
                <w14:textFill>
                  <w14:solidFill>
                    <w14:schemeClr w14:val="tx1"/>
                  </w14:solidFill>
                </w14:textFill>
              </w:rPr>
              <w:t>数量</w:t>
            </w:r>
          </w:p>
        </w:tc>
      </w:tr>
      <w:tr w14:paraId="6F3CB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009" w:type="dxa"/>
            <w:tcBorders>
              <w:left w:val="single" w:color="000000" w:sz="10" w:space="0"/>
            </w:tcBorders>
          </w:tcPr>
          <w:p w14:paraId="27448FEF">
            <w:pPr>
              <w:spacing w:before="82" w:line="195" w:lineRule="auto"/>
              <w:ind w:left="457"/>
              <w:rPr>
                <w:rFonts w:ascii="Times New Roman" w:hAnsi="Times New Roman" w:eastAsia="Times New Roman" w:cs="Times New Roman"/>
                <w:color w:val="000000" w:themeColor="text1"/>
                <w:sz w:val="23"/>
                <w:szCs w:val="23"/>
                <w:highlight w:val="none"/>
                <w14:textFill>
                  <w14:solidFill>
                    <w14:schemeClr w14:val="tx1"/>
                  </w14:solidFill>
                </w14:textFill>
              </w:rPr>
            </w:pPr>
            <w:r>
              <w:rPr>
                <w:rFonts w:ascii="Times New Roman" w:hAnsi="Times New Roman" w:eastAsia="Times New Roman" w:cs="Times New Roman"/>
                <w:color w:val="000000" w:themeColor="text1"/>
                <w:sz w:val="23"/>
                <w:szCs w:val="23"/>
                <w:highlight w:val="none"/>
                <w14:textFill>
                  <w14:solidFill>
                    <w14:schemeClr w14:val="tx1"/>
                  </w14:solidFill>
                </w14:textFill>
              </w:rPr>
              <w:t>1</w:t>
            </w:r>
          </w:p>
        </w:tc>
        <w:tc>
          <w:tcPr>
            <w:tcW w:w="4220" w:type="dxa"/>
          </w:tcPr>
          <w:p w14:paraId="6B661B23">
            <w:pPr>
              <w:spacing w:before="41" w:line="211" w:lineRule="auto"/>
              <w:ind w:left="1659"/>
              <w:rPr>
                <w:rFonts w:ascii="仿宋" w:hAnsi="仿宋" w:eastAsia="仿宋" w:cs="仿宋"/>
                <w:color w:val="000000" w:themeColor="text1"/>
                <w:sz w:val="23"/>
                <w:szCs w:val="23"/>
                <w:highlight w:val="none"/>
                <w14:textFill>
                  <w14:solidFill>
                    <w14:schemeClr w14:val="tx1"/>
                  </w14:solidFill>
                </w14:textFill>
              </w:rPr>
            </w:pPr>
            <w:r>
              <w:rPr>
                <w:rFonts w:ascii="仿宋" w:hAnsi="仿宋" w:eastAsia="仿宋" w:cs="仿宋"/>
                <w:color w:val="000000" w:themeColor="text1"/>
                <w:sz w:val="23"/>
                <w:szCs w:val="23"/>
                <w:highlight w:val="none"/>
                <w14:textFill>
                  <w14:solidFill>
                    <w14:schemeClr w14:val="tx1"/>
                  </w14:solidFill>
                </w14:textFill>
              </w:rPr>
              <w:t>台式电脑</w:t>
            </w:r>
          </w:p>
        </w:tc>
        <w:tc>
          <w:tcPr>
            <w:tcW w:w="3575" w:type="dxa"/>
            <w:tcBorders>
              <w:right w:val="single" w:color="000000" w:sz="10" w:space="0"/>
            </w:tcBorders>
          </w:tcPr>
          <w:p w14:paraId="46BA8B1B">
            <w:pPr>
              <w:spacing w:before="41" w:line="211" w:lineRule="auto"/>
              <w:ind w:left="1457"/>
              <w:rPr>
                <w:rFonts w:ascii="仿宋" w:hAnsi="仿宋" w:eastAsia="仿宋" w:cs="仿宋"/>
                <w:color w:val="000000" w:themeColor="text1"/>
                <w:sz w:val="23"/>
                <w:szCs w:val="23"/>
                <w:highlight w:val="none"/>
                <w14:textFill>
                  <w14:solidFill>
                    <w14:schemeClr w14:val="tx1"/>
                  </w14:solidFill>
                </w14:textFill>
              </w:rPr>
            </w:pPr>
            <w:r>
              <w:rPr>
                <w:rFonts w:hint="eastAsia" w:ascii="仿宋" w:hAnsi="仿宋" w:eastAsia="仿宋" w:cs="仿宋"/>
                <w:color w:val="000000" w:themeColor="text1"/>
                <w:spacing w:val="1"/>
                <w:sz w:val="23"/>
                <w:szCs w:val="23"/>
                <w:highlight w:val="none"/>
                <w:lang w:val="en-US" w:eastAsia="zh-CN"/>
                <w14:textFill>
                  <w14:solidFill>
                    <w14:schemeClr w14:val="tx1"/>
                  </w14:solidFill>
                </w14:textFill>
              </w:rPr>
              <w:t>65</w:t>
            </w:r>
            <w:r>
              <w:rPr>
                <w:rFonts w:ascii="仿宋" w:hAnsi="仿宋" w:eastAsia="仿宋" w:cs="仿宋"/>
                <w:color w:val="000000" w:themeColor="text1"/>
                <w:spacing w:val="1"/>
                <w:sz w:val="23"/>
                <w:szCs w:val="23"/>
                <w:highlight w:val="none"/>
                <w14:textFill>
                  <w14:solidFill>
                    <w14:schemeClr w14:val="tx1"/>
                  </w14:solidFill>
                </w14:textFill>
              </w:rPr>
              <w:t>台</w:t>
            </w:r>
          </w:p>
        </w:tc>
      </w:tr>
      <w:tr w14:paraId="3F706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09" w:type="dxa"/>
            <w:tcBorders>
              <w:left w:val="single" w:color="000000" w:sz="10" w:space="0"/>
            </w:tcBorders>
          </w:tcPr>
          <w:p w14:paraId="50EB3D79">
            <w:pPr>
              <w:spacing w:before="84" w:line="195" w:lineRule="auto"/>
              <w:ind w:left="434"/>
              <w:rPr>
                <w:rFonts w:ascii="Times New Roman" w:hAnsi="Times New Roman" w:eastAsia="Times New Roman" w:cs="Times New Roman"/>
                <w:color w:val="000000" w:themeColor="text1"/>
                <w:sz w:val="23"/>
                <w:szCs w:val="23"/>
                <w:highlight w:val="none"/>
                <w14:textFill>
                  <w14:solidFill>
                    <w14:schemeClr w14:val="tx1"/>
                  </w14:solidFill>
                </w14:textFill>
              </w:rPr>
            </w:pPr>
            <w:r>
              <w:rPr>
                <w:rFonts w:ascii="Times New Roman" w:hAnsi="Times New Roman" w:eastAsia="Times New Roman" w:cs="Times New Roman"/>
                <w:color w:val="000000" w:themeColor="text1"/>
                <w:sz w:val="23"/>
                <w:szCs w:val="23"/>
                <w:highlight w:val="none"/>
                <w14:textFill>
                  <w14:solidFill>
                    <w14:schemeClr w14:val="tx1"/>
                  </w14:solidFill>
                </w14:textFill>
              </w:rPr>
              <w:t>2</w:t>
            </w:r>
          </w:p>
        </w:tc>
        <w:tc>
          <w:tcPr>
            <w:tcW w:w="4220" w:type="dxa"/>
          </w:tcPr>
          <w:p w14:paraId="3768D92D">
            <w:pPr>
              <w:spacing w:before="45" w:line="204" w:lineRule="auto"/>
              <w:ind w:left="1405"/>
              <w:rPr>
                <w:rFonts w:ascii="仿宋" w:hAnsi="仿宋" w:eastAsia="仿宋" w:cs="仿宋"/>
                <w:color w:val="000000" w:themeColor="text1"/>
                <w:sz w:val="23"/>
                <w:szCs w:val="23"/>
                <w:highlight w:val="none"/>
                <w14:textFill>
                  <w14:solidFill>
                    <w14:schemeClr w14:val="tx1"/>
                  </w14:solidFill>
                </w14:textFill>
              </w:rPr>
            </w:pPr>
            <w:r>
              <w:rPr>
                <w:rFonts w:ascii="仿宋" w:hAnsi="仿宋" w:eastAsia="仿宋" w:cs="仿宋"/>
                <w:color w:val="000000" w:themeColor="text1"/>
                <w:spacing w:val="6"/>
                <w:sz w:val="23"/>
                <w:szCs w:val="23"/>
                <w:highlight w:val="none"/>
                <w14:textFill>
                  <w14:solidFill>
                    <w14:schemeClr w14:val="tx1"/>
                  </w14:solidFill>
                </w14:textFill>
              </w:rPr>
              <w:t>高清晰摄像头</w:t>
            </w:r>
          </w:p>
        </w:tc>
        <w:tc>
          <w:tcPr>
            <w:tcW w:w="3575" w:type="dxa"/>
            <w:tcBorders>
              <w:right w:val="single" w:color="000000" w:sz="10" w:space="0"/>
            </w:tcBorders>
          </w:tcPr>
          <w:p w14:paraId="5D0E56A3">
            <w:pPr>
              <w:spacing w:before="45" w:line="204" w:lineRule="auto"/>
              <w:ind w:left="1517"/>
              <w:rPr>
                <w:rFonts w:ascii="仿宋" w:hAnsi="仿宋" w:eastAsia="仿宋" w:cs="仿宋"/>
                <w:color w:val="000000" w:themeColor="text1"/>
                <w:sz w:val="23"/>
                <w:szCs w:val="23"/>
                <w:highlight w:val="none"/>
                <w14:textFill>
                  <w14:solidFill>
                    <w14:schemeClr w14:val="tx1"/>
                  </w14:solidFill>
                </w14:textFill>
              </w:rPr>
            </w:pPr>
            <w:r>
              <w:rPr>
                <w:rFonts w:ascii="Times New Roman" w:hAnsi="Times New Roman" w:eastAsia="Times New Roman" w:cs="Times New Roman"/>
                <w:color w:val="000000" w:themeColor="text1"/>
                <w:sz w:val="23"/>
                <w:szCs w:val="23"/>
                <w:highlight w:val="none"/>
                <w14:textFill>
                  <w14:solidFill>
                    <w14:schemeClr w14:val="tx1"/>
                  </w14:solidFill>
                </w14:textFill>
              </w:rPr>
              <w:t>20</w:t>
            </w:r>
            <w:r>
              <w:rPr>
                <w:rFonts w:ascii="仿宋" w:hAnsi="仿宋" w:eastAsia="仿宋" w:cs="仿宋"/>
                <w:color w:val="000000" w:themeColor="text1"/>
                <w:sz w:val="23"/>
                <w:szCs w:val="23"/>
                <w:highlight w:val="none"/>
                <w14:textFill>
                  <w14:solidFill>
                    <w14:schemeClr w14:val="tx1"/>
                  </w14:solidFill>
                </w14:textFill>
              </w:rPr>
              <w:t>只</w:t>
            </w:r>
          </w:p>
        </w:tc>
      </w:tr>
      <w:tr w14:paraId="56834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009" w:type="dxa"/>
            <w:tcBorders>
              <w:left w:val="single" w:color="000000" w:sz="10" w:space="0"/>
              <w:bottom w:val="single" w:color="000000" w:sz="10" w:space="0"/>
            </w:tcBorders>
          </w:tcPr>
          <w:p w14:paraId="38C8D006">
            <w:pPr>
              <w:spacing w:before="94" w:line="194" w:lineRule="auto"/>
              <w:ind w:left="439"/>
              <w:rPr>
                <w:rFonts w:ascii="Times New Roman" w:hAnsi="Times New Roman" w:eastAsia="Times New Roman" w:cs="Times New Roman"/>
                <w:color w:val="000000" w:themeColor="text1"/>
                <w:sz w:val="23"/>
                <w:szCs w:val="23"/>
                <w:highlight w:val="none"/>
                <w14:textFill>
                  <w14:solidFill>
                    <w14:schemeClr w14:val="tx1"/>
                  </w14:solidFill>
                </w14:textFill>
              </w:rPr>
            </w:pPr>
            <w:r>
              <w:rPr>
                <w:rFonts w:ascii="Times New Roman" w:hAnsi="Times New Roman" w:eastAsia="Times New Roman" w:cs="Times New Roman"/>
                <w:color w:val="000000" w:themeColor="text1"/>
                <w:sz w:val="23"/>
                <w:szCs w:val="23"/>
                <w:highlight w:val="none"/>
                <w14:textFill>
                  <w14:solidFill>
                    <w14:schemeClr w14:val="tx1"/>
                  </w14:solidFill>
                </w14:textFill>
              </w:rPr>
              <w:t>3</w:t>
            </w:r>
          </w:p>
        </w:tc>
        <w:tc>
          <w:tcPr>
            <w:tcW w:w="4220" w:type="dxa"/>
            <w:tcBorders>
              <w:bottom w:val="single" w:color="000000" w:sz="10" w:space="0"/>
            </w:tcBorders>
          </w:tcPr>
          <w:p w14:paraId="7100AA4F">
            <w:pPr>
              <w:spacing w:before="52" w:line="219" w:lineRule="auto"/>
              <w:ind w:left="1643"/>
              <w:rPr>
                <w:rFonts w:hint="default" w:ascii="仿宋" w:hAnsi="仿宋" w:eastAsia="仿宋" w:cs="仿宋"/>
                <w:color w:val="000000" w:themeColor="text1"/>
                <w:sz w:val="23"/>
                <w:szCs w:val="23"/>
                <w:highlight w:val="none"/>
                <w:lang w:val="en-US" w:eastAsia="zh-CN"/>
                <w14:textFill>
                  <w14:solidFill>
                    <w14:schemeClr w14:val="tx1"/>
                  </w14:solidFill>
                </w14:textFill>
              </w:rPr>
            </w:pPr>
            <w:r>
              <w:rPr>
                <w:rFonts w:hint="eastAsia" w:ascii="仿宋" w:hAnsi="仿宋" w:eastAsia="仿宋" w:cs="仿宋"/>
                <w:color w:val="000000" w:themeColor="text1"/>
                <w:spacing w:val="4"/>
                <w:sz w:val="23"/>
                <w:szCs w:val="23"/>
                <w:highlight w:val="none"/>
                <w:lang w:val="en-US" w:eastAsia="zh-CN"/>
                <w14:textFill>
                  <w14:solidFill>
                    <w14:schemeClr w14:val="tx1"/>
                  </w14:solidFill>
                </w14:textFill>
              </w:rPr>
              <w:t>LY-235A考核装置</w:t>
            </w:r>
          </w:p>
        </w:tc>
        <w:tc>
          <w:tcPr>
            <w:tcW w:w="3575" w:type="dxa"/>
            <w:tcBorders>
              <w:bottom w:val="single" w:color="000000" w:sz="10" w:space="0"/>
              <w:right w:val="single" w:color="000000" w:sz="10" w:space="0"/>
            </w:tcBorders>
          </w:tcPr>
          <w:p w14:paraId="1BDCC7E3">
            <w:pPr>
              <w:spacing w:before="52" w:line="219" w:lineRule="auto"/>
              <w:ind w:left="1457"/>
              <w:rPr>
                <w:rFonts w:ascii="仿宋" w:hAnsi="仿宋" w:eastAsia="仿宋" w:cs="仿宋"/>
                <w:color w:val="000000" w:themeColor="text1"/>
                <w:sz w:val="23"/>
                <w:szCs w:val="23"/>
                <w:highlight w:val="none"/>
                <w14:textFill>
                  <w14:solidFill>
                    <w14:schemeClr w14:val="tx1"/>
                  </w14:solidFill>
                </w14:textFill>
              </w:rPr>
            </w:pPr>
            <w:r>
              <w:rPr>
                <w:rFonts w:hint="eastAsia" w:ascii="Times New Roman" w:hAnsi="Times New Roman" w:eastAsia="宋体" w:cs="Times New Roman"/>
                <w:color w:val="000000" w:themeColor="text1"/>
                <w:spacing w:val="1"/>
                <w:sz w:val="23"/>
                <w:szCs w:val="23"/>
                <w:highlight w:val="none"/>
                <w:lang w:val="en-US" w:eastAsia="zh-CN"/>
                <w14:textFill>
                  <w14:solidFill>
                    <w14:schemeClr w14:val="tx1"/>
                  </w14:solidFill>
                </w14:textFill>
              </w:rPr>
              <w:t>25</w:t>
            </w:r>
            <w:r>
              <w:rPr>
                <w:rFonts w:ascii="仿宋" w:hAnsi="仿宋" w:eastAsia="仿宋" w:cs="仿宋"/>
                <w:color w:val="000000" w:themeColor="text1"/>
                <w:spacing w:val="1"/>
                <w:sz w:val="23"/>
                <w:szCs w:val="23"/>
                <w:highlight w:val="none"/>
                <w14:textFill>
                  <w14:solidFill>
                    <w14:schemeClr w14:val="tx1"/>
                  </w14:solidFill>
                </w14:textFill>
              </w:rPr>
              <w:t>套</w:t>
            </w:r>
          </w:p>
        </w:tc>
      </w:tr>
    </w:tbl>
    <w:p w14:paraId="22237752">
      <w:pPr>
        <w:spacing w:before="100" w:after="100" w:line="540" w:lineRule="exact"/>
        <w:ind w:firstLine="588" w:firstLineChars="200"/>
        <w:rPr>
          <w:rFonts w:ascii="黑体" w:hAnsi="黑体" w:eastAsia="黑体" w:cs="黑体"/>
          <w:spacing w:val="-3"/>
          <w:sz w:val="30"/>
          <w:szCs w:val="30"/>
          <w:lang w:eastAsia="zh-CN"/>
        </w:rPr>
      </w:pPr>
    </w:p>
    <w:p w14:paraId="3E7B4285">
      <w:pPr>
        <w:spacing w:before="100" w:after="100" w:line="540" w:lineRule="exact"/>
        <w:ind w:firstLine="588" w:firstLineChars="200"/>
        <w:rPr>
          <w:rFonts w:ascii="黑体" w:hAnsi="黑体" w:eastAsia="黑体" w:cs="黑体"/>
          <w:spacing w:val="-3"/>
          <w:sz w:val="30"/>
          <w:szCs w:val="30"/>
          <w:lang w:eastAsia="zh-CN"/>
        </w:rPr>
      </w:pPr>
    </w:p>
    <w:p w14:paraId="43C2702F">
      <w:pPr>
        <w:pStyle w:val="3"/>
        <w:numPr>
          <w:ilvl w:val="0"/>
          <w:numId w:val="1"/>
        </w:numPr>
        <w:spacing w:before="216" w:line="192" w:lineRule="auto"/>
        <w:ind w:left="568"/>
        <w:rPr>
          <w:rFonts w:hint="eastAsia"/>
          <w:color w:val="000000" w:themeColor="text1"/>
          <w:spacing w:val="2"/>
          <w:sz w:val="28"/>
          <w:szCs w:val="28"/>
          <w:highlight w:val="none"/>
          <w:lang w:eastAsia="zh-CN"/>
          <w14:textFill>
            <w14:solidFill>
              <w14:schemeClr w14:val="tx1"/>
            </w14:solidFill>
          </w14:textFill>
        </w:rPr>
      </w:pPr>
      <w:bookmarkStart w:id="10" w:name="_Toc16306"/>
      <w:r>
        <w:rPr>
          <w:rFonts w:hint="eastAsia"/>
          <w:color w:val="000000" w:themeColor="text1"/>
          <w:spacing w:val="2"/>
          <w:sz w:val="28"/>
          <w:szCs w:val="28"/>
          <w:highlight w:val="none"/>
          <w:lang w:eastAsia="zh-CN"/>
          <w14:textFill>
            <w14:solidFill>
              <w14:schemeClr w14:val="tx1"/>
            </w14:solidFill>
          </w14:textFill>
        </w:rPr>
        <w:t>元件清单</w:t>
      </w:r>
    </w:p>
    <w:p w14:paraId="7A53A894">
      <w:pPr>
        <w:numPr>
          <w:ilvl w:val="0"/>
          <w:numId w:val="0"/>
        </w:numPr>
        <w:kinsoku w:val="0"/>
        <w:autoSpaceDE w:val="0"/>
        <w:autoSpaceDN w:val="0"/>
        <w:adjustRightInd w:val="0"/>
        <w:snapToGrid w:val="0"/>
        <w:textAlignment w:val="baseline"/>
        <w:rPr>
          <w:rFonts w:hint="eastAsia"/>
          <w:lang w:eastAsia="zh-CN"/>
        </w:rPr>
      </w:pPr>
    </w:p>
    <w:p w14:paraId="61B16074">
      <w:pPr>
        <w:keepNext w:val="0"/>
        <w:keepLines w:val="0"/>
        <w:widowControl/>
        <w:suppressLineNumbers w:val="0"/>
        <w:jc w:val="left"/>
      </w:pPr>
      <w:r>
        <w:rPr>
          <w:rFonts w:hint="eastAsia" w:ascii="仿宋" w:hAnsi="仿宋" w:eastAsia="仿宋" w:cs="仿宋"/>
          <w:b/>
          <w:bCs/>
          <w:snapToGrid w:val="0"/>
          <w:color w:val="000000"/>
          <w:kern w:val="0"/>
          <w:sz w:val="24"/>
          <w:szCs w:val="24"/>
          <w:lang w:val="en-US" w:eastAsia="zh-CN" w:bidi="ar"/>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975"/>
        <w:gridCol w:w="2655"/>
        <w:gridCol w:w="810"/>
        <w:gridCol w:w="3136"/>
      </w:tblGrid>
      <w:tr w14:paraId="4CB3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71CD28C1">
            <w:pPr>
              <w:keepNext w:val="0"/>
              <w:keepLines w:val="0"/>
              <w:widowControl/>
              <w:suppressLineNumbers w:val="0"/>
              <w:jc w:val="left"/>
            </w:pPr>
            <w:r>
              <w:rPr>
                <w:rFonts w:ascii="仿宋" w:hAnsi="仿宋" w:eastAsia="仿宋" w:cs="仿宋"/>
                <w:b/>
                <w:bCs/>
                <w:snapToGrid w:val="0"/>
                <w:color w:val="000000"/>
                <w:kern w:val="0"/>
                <w:sz w:val="24"/>
                <w:szCs w:val="24"/>
                <w:lang w:val="en-US" w:eastAsia="zh-CN" w:bidi="ar"/>
              </w:rPr>
              <w:t xml:space="preserve">序号 </w:t>
            </w:r>
          </w:p>
          <w:p w14:paraId="2C95A14F">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975" w:type="dxa"/>
          </w:tcPr>
          <w:p w14:paraId="225CDCEB">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r>
              <w:rPr>
                <w:rFonts w:hint="eastAsia" w:ascii="仿宋" w:hAnsi="仿宋" w:eastAsia="仿宋" w:cs="仿宋"/>
                <w:b/>
                <w:bCs/>
                <w:snapToGrid w:val="0"/>
                <w:color w:val="000000"/>
                <w:kern w:val="0"/>
                <w:sz w:val="24"/>
                <w:szCs w:val="24"/>
                <w:lang w:val="en-US" w:eastAsia="zh-CN" w:bidi="ar"/>
              </w:rPr>
              <w:t>名称</w:t>
            </w:r>
          </w:p>
        </w:tc>
        <w:tc>
          <w:tcPr>
            <w:tcW w:w="2655" w:type="dxa"/>
          </w:tcPr>
          <w:p w14:paraId="0364D053">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r>
              <w:rPr>
                <w:rFonts w:hint="eastAsia" w:ascii="仿宋" w:hAnsi="仿宋" w:eastAsia="仿宋" w:cs="仿宋"/>
                <w:b/>
                <w:bCs/>
                <w:snapToGrid w:val="0"/>
                <w:color w:val="000000"/>
                <w:kern w:val="0"/>
                <w:sz w:val="24"/>
                <w:szCs w:val="24"/>
                <w:lang w:val="en-US" w:eastAsia="zh-CN" w:bidi="ar"/>
              </w:rPr>
              <w:t>主要元件及规格</w:t>
            </w:r>
          </w:p>
        </w:tc>
        <w:tc>
          <w:tcPr>
            <w:tcW w:w="810" w:type="dxa"/>
          </w:tcPr>
          <w:p w14:paraId="06D7086C">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r>
              <w:rPr>
                <w:rFonts w:hint="eastAsia" w:ascii="仿宋" w:hAnsi="仿宋" w:eastAsia="仿宋" w:cs="仿宋"/>
                <w:b/>
                <w:bCs/>
                <w:snapToGrid w:val="0"/>
                <w:color w:val="000000"/>
                <w:kern w:val="0"/>
                <w:sz w:val="24"/>
                <w:szCs w:val="24"/>
                <w:lang w:val="en-US" w:eastAsia="zh-CN" w:bidi="ar"/>
              </w:rPr>
              <w:t>数量</w:t>
            </w:r>
          </w:p>
        </w:tc>
        <w:tc>
          <w:tcPr>
            <w:tcW w:w="3136" w:type="dxa"/>
          </w:tcPr>
          <w:p w14:paraId="37EC80D5">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r>
              <w:rPr>
                <w:rFonts w:hint="eastAsia" w:ascii="仿宋" w:hAnsi="仿宋" w:eastAsia="仿宋" w:cs="仿宋"/>
                <w:b/>
                <w:bCs/>
                <w:snapToGrid w:val="0"/>
                <w:color w:val="000000"/>
                <w:kern w:val="0"/>
                <w:sz w:val="24"/>
                <w:szCs w:val="24"/>
                <w:lang w:val="en-US" w:eastAsia="zh-CN" w:bidi="ar"/>
              </w:rPr>
              <w:t>备注</w:t>
            </w:r>
          </w:p>
          <w:p w14:paraId="64DC30C4">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r>
      <w:tr w14:paraId="1657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30FD8CF6">
            <w:pPr>
              <w:keepNext w:val="0"/>
              <w:keepLines w:val="0"/>
              <w:widowControl/>
              <w:suppressLineNumbers w:val="0"/>
              <w:jc w:val="left"/>
            </w:pPr>
            <w:r>
              <w:rPr>
                <w:rFonts w:ascii="仿宋_GB2312" w:hAnsi="宋体" w:eastAsia="仿宋_GB2312" w:cs="仿宋_GB2312"/>
                <w:snapToGrid w:val="0"/>
                <w:color w:val="000000"/>
                <w:kern w:val="0"/>
                <w:sz w:val="24"/>
                <w:szCs w:val="24"/>
                <w:lang w:val="en-US" w:eastAsia="zh-CN" w:bidi="ar"/>
              </w:rPr>
              <w:t xml:space="preserve">1 </w:t>
            </w:r>
          </w:p>
          <w:p w14:paraId="60BAEE41">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975" w:type="dxa"/>
          </w:tcPr>
          <w:p w14:paraId="1C685A1F">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PLC </w:t>
            </w:r>
          </w:p>
          <w:p w14:paraId="0A13C713">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2655" w:type="dxa"/>
          </w:tcPr>
          <w:p w14:paraId="6E67CB88">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r>
              <w:rPr>
                <w:rFonts w:hint="default" w:ascii="仿宋_GB2312" w:hAnsi="宋体" w:eastAsia="仿宋_GB2312" w:cs="仿宋_GB2312"/>
                <w:snapToGrid w:val="0"/>
                <w:color w:val="000000"/>
                <w:kern w:val="0"/>
                <w:sz w:val="24"/>
                <w:szCs w:val="24"/>
                <w:lang w:val="en-US" w:eastAsia="zh-CN" w:bidi="ar"/>
              </w:rPr>
              <w:t>主机：FX3U-48MR</w:t>
            </w:r>
          </w:p>
        </w:tc>
        <w:tc>
          <w:tcPr>
            <w:tcW w:w="810" w:type="dxa"/>
          </w:tcPr>
          <w:p w14:paraId="3BE01436">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 台 </w:t>
            </w:r>
          </w:p>
          <w:p w14:paraId="4E845AFF">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3136" w:type="dxa"/>
          </w:tcPr>
          <w:p w14:paraId="5F28D6A9">
            <w:pPr>
              <w:keepNext w:val="0"/>
              <w:keepLines w:val="0"/>
              <w:widowControl/>
              <w:suppressLineNumbers w:val="0"/>
              <w:jc w:val="left"/>
              <w:rPr>
                <w:rFonts w:hint="default" w:ascii="仿宋_GB2312" w:hAnsi="宋体" w:eastAsia="仿宋_GB2312" w:cs="仿宋_GB2312"/>
                <w:snapToGrid w:val="0"/>
                <w:color w:val="000000"/>
                <w:kern w:val="0"/>
                <w:sz w:val="24"/>
                <w:szCs w:val="24"/>
                <w:lang w:val="en-US" w:eastAsia="zh-CN" w:bidi="ar"/>
              </w:rPr>
            </w:pPr>
            <w:r>
              <w:rPr>
                <w:rFonts w:hint="default" w:ascii="仿宋_GB2312" w:hAnsi="宋体" w:eastAsia="仿宋_GB2312" w:cs="仿宋_GB2312"/>
                <w:snapToGrid w:val="0"/>
                <w:color w:val="000000"/>
                <w:kern w:val="0"/>
                <w:sz w:val="24"/>
                <w:szCs w:val="24"/>
                <w:lang w:val="en-US" w:eastAsia="zh-CN" w:bidi="ar"/>
              </w:rPr>
              <w:t>编程软件：</w:t>
            </w:r>
          </w:p>
          <w:p w14:paraId="5FC4EAF0">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GX Developer 8.86 </w:t>
            </w:r>
          </w:p>
          <w:p w14:paraId="5DD23D29">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r>
      <w:tr w14:paraId="1203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796E8DB">
            <w:pPr>
              <w:keepNext w:val="0"/>
              <w:keepLines w:val="0"/>
              <w:widowControl/>
              <w:suppressLineNumbers w:val="0"/>
              <w:jc w:val="left"/>
            </w:pPr>
            <w:r>
              <w:rPr>
                <w:rFonts w:hint="default" w:ascii="Times New Roman" w:hAnsi="Times New Roman" w:eastAsia="宋体" w:cs="Times New Roman"/>
                <w:snapToGrid w:val="0"/>
                <w:color w:val="000000"/>
                <w:kern w:val="0"/>
                <w:sz w:val="24"/>
                <w:szCs w:val="24"/>
                <w:lang w:val="en-US" w:eastAsia="zh-CN" w:bidi="ar"/>
              </w:rPr>
              <w:t xml:space="preserve">2 </w:t>
            </w:r>
          </w:p>
          <w:p w14:paraId="6E645E8E">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975" w:type="dxa"/>
          </w:tcPr>
          <w:p w14:paraId="304ED6E4">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r>
              <w:rPr>
                <w:rFonts w:hint="default" w:ascii="仿宋_GB2312" w:hAnsi="宋体" w:eastAsia="仿宋_GB2312" w:cs="仿宋_GB2312"/>
                <w:snapToGrid w:val="0"/>
                <w:color w:val="000000"/>
                <w:kern w:val="0"/>
                <w:sz w:val="24"/>
                <w:szCs w:val="24"/>
                <w:lang w:val="en-US" w:eastAsia="zh-CN" w:bidi="ar"/>
              </w:rPr>
              <w:t>变频器</w:t>
            </w:r>
            <w:r>
              <w:rPr>
                <w:rFonts w:hint="eastAsia" w:ascii="仿宋_GB2312" w:hAnsi="宋体" w:eastAsia="仿宋_GB2312" w:cs="仿宋_GB2312"/>
                <w:snapToGrid w:val="0"/>
                <w:color w:val="000000"/>
                <w:kern w:val="0"/>
                <w:sz w:val="24"/>
                <w:szCs w:val="24"/>
                <w:lang w:val="en-US" w:eastAsia="zh-CN" w:bidi="ar"/>
              </w:rPr>
              <w:t>、电机</w:t>
            </w:r>
          </w:p>
        </w:tc>
        <w:tc>
          <w:tcPr>
            <w:tcW w:w="2655" w:type="dxa"/>
          </w:tcPr>
          <w:p w14:paraId="55227EC8">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型号：E740，AC 380 V；输出功率≥0.75 kW； </w:t>
            </w:r>
          </w:p>
          <w:p w14:paraId="73CEF92C">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810" w:type="dxa"/>
          </w:tcPr>
          <w:p w14:paraId="58A6B642">
            <w:pPr>
              <w:keepNext w:val="0"/>
              <w:keepLines w:val="0"/>
              <w:widowControl/>
              <w:suppressLineNumbers w:val="0"/>
              <w:jc w:val="left"/>
            </w:pPr>
            <w:r>
              <w:rPr>
                <w:rFonts w:hint="default" w:ascii="Times New Roman" w:hAnsi="Times New Roman" w:eastAsia="宋体" w:cs="Times New Roman"/>
                <w:snapToGrid w:val="0"/>
                <w:color w:val="000000"/>
                <w:kern w:val="0"/>
                <w:sz w:val="24"/>
                <w:szCs w:val="24"/>
                <w:lang w:val="en-US" w:eastAsia="zh-CN" w:bidi="ar"/>
              </w:rPr>
              <w:t xml:space="preserve">1 </w:t>
            </w:r>
            <w:r>
              <w:rPr>
                <w:rFonts w:hint="eastAsia" w:ascii="仿宋" w:hAnsi="仿宋" w:eastAsia="仿宋" w:cs="仿宋"/>
                <w:snapToGrid w:val="0"/>
                <w:color w:val="000000"/>
                <w:kern w:val="0"/>
                <w:sz w:val="24"/>
                <w:szCs w:val="24"/>
                <w:lang w:val="en-US" w:eastAsia="zh-CN" w:bidi="ar"/>
              </w:rPr>
              <w:t xml:space="preserve">台 </w:t>
            </w:r>
          </w:p>
          <w:p w14:paraId="50820887">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3136" w:type="dxa"/>
          </w:tcPr>
          <w:p w14:paraId="106A6C08">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r>
      <w:tr w14:paraId="726B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8EB33AB">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3 </w:t>
            </w:r>
          </w:p>
          <w:p w14:paraId="61878DF5">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975" w:type="dxa"/>
          </w:tcPr>
          <w:p w14:paraId="64DD53E6">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计算机 </w:t>
            </w:r>
          </w:p>
          <w:p w14:paraId="6A03476E">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2655" w:type="dxa"/>
          </w:tcPr>
          <w:p w14:paraId="225970C5">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CPU 频率≥1.0GHz； </w:t>
            </w:r>
          </w:p>
          <w:p w14:paraId="38B18C0E">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内存≥512M； </w:t>
            </w:r>
          </w:p>
          <w:p w14:paraId="5C52E8B9">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r>
              <w:rPr>
                <w:rFonts w:hint="default" w:ascii="仿宋_GB2312" w:hAnsi="宋体" w:eastAsia="仿宋_GB2312" w:cs="仿宋_GB2312"/>
                <w:snapToGrid w:val="0"/>
                <w:color w:val="000000"/>
                <w:kern w:val="0"/>
                <w:sz w:val="24"/>
                <w:szCs w:val="24"/>
                <w:lang w:val="en-US" w:eastAsia="zh-CN" w:bidi="ar"/>
              </w:rPr>
              <w:t>硬盘容量≥40G</w:t>
            </w:r>
          </w:p>
        </w:tc>
        <w:tc>
          <w:tcPr>
            <w:tcW w:w="810" w:type="dxa"/>
          </w:tcPr>
          <w:p w14:paraId="6767DD36">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 台 </w:t>
            </w:r>
          </w:p>
          <w:p w14:paraId="7B11A562">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3136" w:type="dxa"/>
          </w:tcPr>
          <w:p w14:paraId="5C59DB73">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计算机操作系统为 </w:t>
            </w:r>
          </w:p>
          <w:p w14:paraId="2E588344">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Windows7 32 位；</w:t>
            </w:r>
            <w:r>
              <w:rPr>
                <w:rFonts w:ascii="Calibri" w:hAnsi="Calibri" w:eastAsia="宋体" w:cs="Calibri"/>
                <w:snapToGrid w:val="0"/>
                <w:color w:val="000000"/>
                <w:kern w:val="0"/>
                <w:sz w:val="18"/>
                <w:szCs w:val="18"/>
                <w:lang w:val="en-US" w:eastAsia="zh-CN" w:bidi="ar"/>
              </w:rPr>
              <w:t xml:space="preserve">10 </w:t>
            </w:r>
          </w:p>
          <w:p w14:paraId="2947CCB3">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显示器尺寸≥14 </w:t>
            </w:r>
            <w:r>
              <w:rPr>
                <w:rFonts w:ascii="微软雅黑" w:hAnsi="微软雅黑" w:eastAsia="微软雅黑" w:cs="微软雅黑"/>
                <w:snapToGrid w:val="0"/>
                <w:color w:val="000000"/>
                <w:kern w:val="0"/>
                <w:sz w:val="24"/>
                <w:szCs w:val="24"/>
                <w:lang w:val="en-US" w:eastAsia="zh-CN" w:bidi="ar"/>
              </w:rPr>
              <w:t>吋</w:t>
            </w:r>
            <w:r>
              <w:rPr>
                <w:rFonts w:hint="default" w:ascii="仿宋_GB2312" w:hAnsi="宋体" w:eastAsia="仿宋_GB2312" w:cs="仿宋_GB2312"/>
                <w:snapToGrid w:val="0"/>
                <w:color w:val="000000"/>
                <w:kern w:val="0"/>
                <w:sz w:val="24"/>
                <w:szCs w:val="24"/>
                <w:lang w:val="en-US" w:eastAsia="zh-CN" w:bidi="ar"/>
              </w:rPr>
              <w:t xml:space="preserve">。 </w:t>
            </w:r>
          </w:p>
          <w:p w14:paraId="26175E11">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放置计算机主机和显示器的电 </w:t>
            </w:r>
          </w:p>
          <w:p w14:paraId="4D40FBB9">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脑推车。 </w:t>
            </w:r>
          </w:p>
          <w:p w14:paraId="680462E2">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r>
      <w:tr w14:paraId="72BB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4BEB62E">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4 </w:t>
            </w:r>
          </w:p>
          <w:p w14:paraId="0CBD5907">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975" w:type="dxa"/>
          </w:tcPr>
          <w:p w14:paraId="090852D8">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触摸屏 </w:t>
            </w:r>
          </w:p>
          <w:p w14:paraId="25EF0A2D">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2655" w:type="dxa"/>
          </w:tcPr>
          <w:p w14:paraId="39C7234C">
            <w:pPr>
              <w:keepNext w:val="0"/>
              <w:keepLines w:val="0"/>
              <w:widowControl/>
              <w:suppressLineNumbers w:val="0"/>
              <w:jc w:val="left"/>
              <w:rPr>
                <w:rFonts w:hint="default" w:ascii="仿宋_GB2312" w:hAnsi="宋体" w:eastAsia="仿宋_GB2312" w:cs="仿宋_GB2312"/>
                <w:snapToGrid w:val="0"/>
                <w:color w:val="000000"/>
                <w:kern w:val="0"/>
                <w:sz w:val="24"/>
                <w:szCs w:val="24"/>
                <w:lang w:val="en-US" w:eastAsia="zh-CN" w:bidi="ar"/>
              </w:rPr>
            </w:pPr>
            <w:r>
              <w:rPr>
                <w:rFonts w:hint="default" w:ascii="仿宋_GB2312" w:hAnsi="宋体" w:eastAsia="仿宋_GB2312" w:cs="仿宋_GB2312"/>
                <w:snapToGrid w:val="0"/>
                <w:color w:val="000000"/>
                <w:kern w:val="0"/>
                <w:sz w:val="24"/>
                <w:szCs w:val="24"/>
                <w:lang w:val="en-US" w:eastAsia="zh-CN" w:bidi="ar"/>
              </w:rPr>
              <w:t>型号：</w:t>
            </w:r>
          </w:p>
          <w:p w14:paraId="24E07720">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TPC7062 TX（KX） </w:t>
            </w:r>
          </w:p>
          <w:p w14:paraId="4292DC2F">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810" w:type="dxa"/>
          </w:tcPr>
          <w:p w14:paraId="1E580BF8">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 个 </w:t>
            </w:r>
          </w:p>
          <w:p w14:paraId="4ADE54AD">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3136" w:type="dxa"/>
          </w:tcPr>
          <w:p w14:paraId="7BDE043C">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触摸屏编程软件 </w:t>
            </w:r>
          </w:p>
          <w:p w14:paraId="193B709E">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MCGS 7.7 </w:t>
            </w:r>
          </w:p>
          <w:p w14:paraId="26E74A5F">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r>
      <w:tr w14:paraId="4F04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40E7C60E">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5 </w:t>
            </w:r>
          </w:p>
          <w:p w14:paraId="16D949F9">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975" w:type="dxa"/>
          </w:tcPr>
          <w:p w14:paraId="3896A1C8">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传感器 </w:t>
            </w:r>
          </w:p>
          <w:p w14:paraId="3A44328C">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2655" w:type="dxa"/>
          </w:tcPr>
          <w:p w14:paraId="185C7722">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漫射型光电传感器 </w:t>
            </w:r>
          </w:p>
          <w:p w14:paraId="5206119F">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电感传感器 </w:t>
            </w:r>
          </w:p>
          <w:p w14:paraId="168FDC96">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光纤传感器 </w:t>
            </w:r>
          </w:p>
          <w:p w14:paraId="6A997AFF">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光电传感器 </w:t>
            </w:r>
          </w:p>
          <w:p w14:paraId="7FF33FBB">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810" w:type="dxa"/>
          </w:tcPr>
          <w:p w14:paraId="671D1DA1">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 套 </w:t>
            </w:r>
          </w:p>
          <w:p w14:paraId="0B1C0F99">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3136" w:type="dxa"/>
          </w:tcPr>
          <w:p w14:paraId="07C8B8CD">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传感器型号以赛前公布 </w:t>
            </w:r>
          </w:p>
          <w:p w14:paraId="5CE66ED0">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的为准，数量根据机电 </w:t>
            </w:r>
          </w:p>
          <w:p w14:paraId="115029BA">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一体化设备工作需要由 </w:t>
            </w:r>
          </w:p>
          <w:p w14:paraId="1F9CCCCA">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r>
              <w:rPr>
                <w:rFonts w:hint="default" w:ascii="仿宋_GB2312" w:hAnsi="宋体" w:eastAsia="仿宋_GB2312" w:cs="仿宋_GB2312"/>
                <w:snapToGrid w:val="0"/>
                <w:color w:val="000000"/>
                <w:kern w:val="0"/>
                <w:sz w:val="24"/>
                <w:szCs w:val="24"/>
                <w:lang w:val="en-US" w:eastAsia="zh-CN" w:bidi="ar"/>
              </w:rPr>
              <w:t>命题专家确定。</w:t>
            </w:r>
          </w:p>
        </w:tc>
      </w:tr>
      <w:tr w14:paraId="3016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7047E51E">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6 </w:t>
            </w:r>
          </w:p>
          <w:p w14:paraId="1D4E2E9B">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975" w:type="dxa"/>
          </w:tcPr>
          <w:p w14:paraId="1DDED6A1">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皮带输送机 </w:t>
            </w:r>
          </w:p>
          <w:p w14:paraId="06D8E285">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2655" w:type="dxa"/>
          </w:tcPr>
          <w:p w14:paraId="3E9CBE4B">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皮带宽度 49 mm，输送机长度 700 </w:t>
            </w:r>
          </w:p>
          <w:p w14:paraId="3C4A1090">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mm，带变速装置的三相交流异步 </w:t>
            </w:r>
          </w:p>
          <w:p w14:paraId="5FB4C1B5">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电动机与光电编码器(ZKT4808- </w:t>
            </w:r>
          </w:p>
          <w:p w14:paraId="23B466A8">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001G-500BZ3-12-24C)等 </w:t>
            </w:r>
          </w:p>
          <w:p w14:paraId="4C532537">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810" w:type="dxa"/>
          </w:tcPr>
          <w:p w14:paraId="4F0CD4ED">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 套 </w:t>
            </w:r>
          </w:p>
          <w:p w14:paraId="18B8FEAB">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3136" w:type="dxa"/>
          </w:tcPr>
          <w:p w14:paraId="2C53754C">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r>
      <w:tr w14:paraId="382A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396E049">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7 </w:t>
            </w:r>
          </w:p>
          <w:p w14:paraId="6ECFAADD">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975" w:type="dxa"/>
          </w:tcPr>
          <w:p w14:paraId="421965F1">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气动机械手 </w:t>
            </w:r>
          </w:p>
          <w:p w14:paraId="7548D02E">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2655" w:type="dxa"/>
          </w:tcPr>
          <w:p w14:paraId="39F23F41">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单出杆气缸，单出双杆气缸，旋 </w:t>
            </w:r>
          </w:p>
          <w:p w14:paraId="1833534A">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转气缸，气手指气缸、电磁换向 </w:t>
            </w:r>
          </w:p>
          <w:p w14:paraId="0F1D9610">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阀，磁性开关等 </w:t>
            </w:r>
          </w:p>
          <w:p w14:paraId="361A5BEB">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810" w:type="dxa"/>
          </w:tcPr>
          <w:p w14:paraId="10CA6CF9">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 套 </w:t>
            </w:r>
          </w:p>
          <w:p w14:paraId="561F7DF0">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3136" w:type="dxa"/>
          </w:tcPr>
          <w:p w14:paraId="53FC12A9">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r>
      <w:tr w14:paraId="3ADD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626C1A1">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8 </w:t>
            </w:r>
          </w:p>
          <w:p w14:paraId="20036901">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975" w:type="dxa"/>
          </w:tcPr>
          <w:p w14:paraId="39D28378">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物件推送部 </w:t>
            </w:r>
          </w:p>
          <w:p w14:paraId="1655D6FD">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件 </w:t>
            </w:r>
          </w:p>
          <w:p w14:paraId="681E20D5">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2655" w:type="dxa"/>
          </w:tcPr>
          <w:p w14:paraId="4D25738A">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单出杆气缸，磁性开关，出料斜 </w:t>
            </w:r>
          </w:p>
          <w:p w14:paraId="0B85F59E">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r>
              <w:rPr>
                <w:rFonts w:hint="default" w:ascii="仿宋_GB2312" w:hAnsi="宋体" w:eastAsia="仿宋_GB2312" w:cs="仿宋_GB2312"/>
                <w:snapToGrid w:val="0"/>
                <w:color w:val="000000"/>
                <w:kern w:val="0"/>
                <w:sz w:val="24"/>
                <w:szCs w:val="24"/>
                <w:lang w:val="en-US" w:eastAsia="zh-CN" w:bidi="ar"/>
              </w:rPr>
              <w:t>槽，电磁换向阀等</w:t>
            </w:r>
          </w:p>
        </w:tc>
        <w:tc>
          <w:tcPr>
            <w:tcW w:w="810" w:type="dxa"/>
          </w:tcPr>
          <w:p w14:paraId="427E4659">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 套 </w:t>
            </w:r>
          </w:p>
          <w:p w14:paraId="52AB8B21">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3136" w:type="dxa"/>
          </w:tcPr>
          <w:p w14:paraId="109FAA84">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r>
      <w:tr w14:paraId="1BC8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4D97D4E5">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9 </w:t>
            </w:r>
          </w:p>
          <w:p w14:paraId="08A790F3">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975" w:type="dxa"/>
          </w:tcPr>
          <w:p w14:paraId="643134C2">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气动元件模 </w:t>
            </w:r>
          </w:p>
          <w:p w14:paraId="6A564C54">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块 </w:t>
            </w:r>
          </w:p>
          <w:p w14:paraId="0778A0BE">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2655" w:type="dxa"/>
          </w:tcPr>
          <w:p w14:paraId="7DB97831">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1、双作用气缸 MAL-CA-32× </w:t>
            </w:r>
          </w:p>
          <w:p w14:paraId="3D44C03F">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125-S-LB（含快速接头单向节流 </w:t>
            </w:r>
          </w:p>
          <w:p w14:paraId="22D38F7D">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阀、L 型支架、磁性开关及绑带） </w:t>
            </w:r>
          </w:p>
          <w:p w14:paraId="54D156EB">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（2 只） </w:t>
            </w:r>
          </w:p>
          <w:p w14:paraId="0C6B754D">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2、调压阀（SR200-08 带压力表） </w:t>
            </w:r>
          </w:p>
          <w:p w14:paraId="75F7073B">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 只） </w:t>
            </w:r>
          </w:p>
          <w:p w14:paraId="188B48BD">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3、单气控二位五通阀 4A210-08 </w:t>
            </w:r>
          </w:p>
          <w:p w14:paraId="2DAC8DA2">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（2 只） </w:t>
            </w:r>
          </w:p>
          <w:p w14:paraId="256AE675">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4 、 单 气 控 二 位 三 通 阀 </w:t>
            </w:r>
          </w:p>
          <w:p w14:paraId="30C263A2">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3A210-08NO（2 只） </w:t>
            </w:r>
          </w:p>
          <w:p w14:paraId="40F4AB73">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5 、 单 气 控 二 位 三 通 阀 </w:t>
            </w:r>
          </w:p>
          <w:p w14:paraId="7AAD12D0">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3A210-08NC（2 只） </w:t>
            </w:r>
          </w:p>
          <w:p w14:paraId="29FCEFD5">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6、双气控二位三通阀 3A220-08 </w:t>
            </w:r>
          </w:p>
          <w:p w14:paraId="5CBBA539">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（3 只） </w:t>
            </w:r>
          </w:p>
          <w:p w14:paraId="3965F17C">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7、双气控二位五通阀 4A220-08 </w:t>
            </w:r>
          </w:p>
          <w:p w14:paraId="1B578989">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（5 只） </w:t>
            </w:r>
          </w:p>
          <w:p w14:paraId="658F1331">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8、气控延时阀 XQ230650（常闭 </w:t>
            </w:r>
          </w:p>
          <w:p w14:paraId="22485EE2">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式）（2 只） </w:t>
            </w:r>
          </w:p>
          <w:p w14:paraId="703BCF20">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9、梭阀 KV-06（2 只） </w:t>
            </w:r>
          </w:p>
          <w:p w14:paraId="0195E18A">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10、与阀 STH-01（2 只） </w:t>
            </w:r>
          </w:p>
          <w:p w14:paraId="12EE6407">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11、滚轮杠杆式机械阀 S3R-08 </w:t>
            </w:r>
          </w:p>
          <w:p w14:paraId="61418260">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 12 、 手 动 控 制 二 位 三 通 阀 </w:t>
            </w:r>
          </w:p>
          <w:p w14:paraId="69237698">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MOV321PPL（2 只） </w:t>
            </w:r>
          </w:p>
          <w:p w14:paraId="7F0866D6">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13、快速排气阀 QE01（2 个） </w:t>
            </w:r>
          </w:p>
          <w:p w14:paraId="0271E10C">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14、接头（根据阀接口确认，参 </w:t>
            </w:r>
          </w:p>
          <w:p w14:paraId="43DA8281">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考型号 ACP6-02）（79 个） </w:t>
            </w:r>
          </w:p>
          <w:p w14:paraId="47DB0C2A">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15、消声器（根据阀接口确认， </w:t>
            </w:r>
          </w:p>
          <w:p w14:paraId="2DAA4708">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参考型号 BSL-01）（23 个） </w:t>
            </w:r>
          </w:p>
          <w:p w14:paraId="016E83A2">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16、固定底座（定制，用于气缸 </w:t>
            </w:r>
          </w:p>
          <w:p w14:paraId="070A3E12">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和滚轮杠杆式机械阀与桌面固 </w:t>
            </w:r>
          </w:p>
          <w:p w14:paraId="3B8019DF">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定）（8 只） </w:t>
            </w:r>
          </w:p>
          <w:p w14:paraId="07E3A52C">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17、直通变径塑料转接头 PG6-4 </w:t>
            </w:r>
          </w:p>
          <w:p w14:paraId="0F514C72">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（10 个） </w:t>
            </w:r>
          </w:p>
          <w:p w14:paraId="3006E255">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810" w:type="dxa"/>
          </w:tcPr>
          <w:p w14:paraId="6C38211D">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r>
              <w:rPr>
                <w:rFonts w:hint="default" w:ascii="仿宋_GB2312" w:hAnsi="宋体" w:eastAsia="仿宋_GB2312" w:cs="仿宋_GB2312"/>
                <w:snapToGrid w:val="0"/>
                <w:color w:val="000000"/>
                <w:kern w:val="0"/>
                <w:sz w:val="24"/>
                <w:szCs w:val="24"/>
                <w:lang w:val="en-US" w:eastAsia="zh-CN" w:bidi="ar"/>
              </w:rPr>
              <w:t>1 套</w:t>
            </w:r>
          </w:p>
        </w:tc>
        <w:tc>
          <w:tcPr>
            <w:tcW w:w="3136" w:type="dxa"/>
          </w:tcPr>
          <w:p w14:paraId="73C9F2E5">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r>
      <w:tr w14:paraId="5672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A06FBD4">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10 </w:t>
            </w:r>
          </w:p>
          <w:p w14:paraId="19A4D2B3">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975" w:type="dxa"/>
          </w:tcPr>
          <w:p w14:paraId="214EA50E">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送料部件 </w:t>
            </w:r>
          </w:p>
          <w:p w14:paraId="42521EC8">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2655" w:type="dxa"/>
          </w:tcPr>
          <w:p w14:paraId="50704819">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24V 直流电机，圆盘，取料平台、 </w:t>
            </w:r>
          </w:p>
          <w:p w14:paraId="103A23B7">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支架及检测传感器等 </w:t>
            </w:r>
          </w:p>
          <w:p w14:paraId="04F98AF3">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810" w:type="dxa"/>
          </w:tcPr>
          <w:p w14:paraId="02D0F977">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 套 </w:t>
            </w:r>
          </w:p>
          <w:p w14:paraId="76ADF325">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3136" w:type="dxa"/>
          </w:tcPr>
          <w:p w14:paraId="4EF3636D">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r>
      <w:tr w14:paraId="1996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CD973E2">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11 </w:t>
            </w:r>
          </w:p>
          <w:p w14:paraId="3A847890">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975" w:type="dxa"/>
          </w:tcPr>
          <w:p w14:paraId="1486F64D">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部件组装台 </w:t>
            </w:r>
          </w:p>
          <w:p w14:paraId="45B153BB">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2655" w:type="dxa"/>
          </w:tcPr>
          <w:p w14:paraId="73ABE488">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铝合金型材制作，1100×800× </w:t>
            </w:r>
          </w:p>
          <w:p w14:paraId="7B08379E">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700mm 1 张 </w:t>
            </w:r>
          </w:p>
          <w:p w14:paraId="38D4D22F">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810" w:type="dxa"/>
          </w:tcPr>
          <w:p w14:paraId="3411AFEF">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1 套</w:t>
            </w:r>
          </w:p>
          <w:p w14:paraId="5361BB07">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3136" w:type="dxa"/>
          </w:tcPr>
          <w:p w14:paraId="2D4F9CE8">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r>
      <w:tr w14:paraId="5785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3FB2EDC7">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975" w:type="dxa"/>
          </w:tcPr>
          <w:p w14:paraId="33D08590">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2655" w:type="dxa"/>
          </w:tcPr>
          <w:p w14:paraId="64A8B4BD">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810" w:type="dxa"/>
          </w:tcPr>
          <w:p w14:paraId="52B2619F">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c>
          <w:tcPr>
            <w:tcW w:w="3136" w:type="dxa"/>
          </w:tcPr>
          <w:p w14:paraId="08A12533">
            <w:pPr>
              <w:keepNext w:val="0"/>
              <w:keepLines w:val="0"/>
              <w:widowControl/>
              <w:suppressLineNumbers w:val="0"/>
              <w:jc w:val="left"/>
              <w:rPr>
                <w:rFonts w:hint="eastAsia" w:ascii="仿宋" w:hAnsi="仿宋" w:eastAsia="仿宋" w:cs="仿宋"/>
                <w:b/>
                <w:bCs/>
                <w:snapToGrid w:val="0"/>
                <w:color w:val="000000"/>
                <w:kern w:val="0"/>
                <w:sz w:val="24"/>
                <w:szCs w:val="24"/>
                <w:vertAlign w:val="baseline"/>
                <w:lang w:val="en-US" w:eastAsia="zh-CN" w:bidi="ar"/>
              </w:rPr>
            </w:pPr>
          </w:p>
        </w:tc>
      </w:tr>
    </w:tbl>
    <w:p w14:paraId="11F593F2">
      <w:pPr>
        <w:keepNext w:val="0"/>
        <w:keepLines w:val="0"/>
        <w:widowControl/>
        <w:suppressLineNumbers w:val="0"/>
        <w:jc w:val="left"/>
      </w:pPr>
      <w:r>
        <w:rPr>
          <w:rFonts w:hint="eastAsia" w:ascii="仿宋" w:hAnsi="仿宋" w:eastAsia="仿宋" w:cs="仿宋"/>
          <w:b/>
          <w:bCs/>
          <w:snapToGrid w:val="0"/>
          <w:color w:val="000000"/>
          <w:kern w:val="0"/>
          <w:sz w:val="24"/>
          <w:szCs w:val="24"/>
          <w:lang w:val="en-US" w:eastAsia="zh-CN" w:bidi="ar"/>
        </w:rPr>
        <w:t xml:space="preserve"> </w:t>
      </w:r>
    </w:p>
    <w:p w14:paraId="4DBD3D81">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 </w:t>
      </w:r>
    </w:p>
    <w:p w14:paraId="5A38518D">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 </w:t>
      </w:r>
    </w:p>
    <w:p w14:paraId="4DB71DB7">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 </w:t>
      </w:r>
    </w:p>
    <w:p w14:paraId="6307A9B7">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 </w:t>
      </w:r>
    </w:p>
    <w:p w14:paraId="0F210FC5">
      <w:pPr>
        <w:keepNext w:val="0"/>
        <w:keepLines w:val="0"/>
        <w:widowControl/>
        <w:suppressLineNumbers w:val="0"/>
        <w:jc w:val="left"/>
      </w:pPr>
      <w:r>
        <w:rPr>
          <w:rFonts w:hint="default" w:ascii="仿宋_GB2312" w:hAnsi="宋体" w:eastAsia="仿宋_GB2312" w:cs="仿宋_GB2312"/>
          <w:snapToGrid w:val="0"/>
          <w:color w:val="000000"/>
          <w:kern w:val="0"/>
          <w:sz w:val="24"/>
          <w:szCs w:val="24"/>
          <w:lang w:val="en-US" w:eastAsia="zh-CN" w:bidi="ar"/>
        </w:rPr>
        <w:t xml:space="preserve"> </w:t>
      </w:r>
    </w:p>
    <w:p w14:paraId="271EFAA5">
      <w:pPr>
        <w:keepNext w:val="0"/>
        <w:keepLines w:val="0"/>
        <w:widowControl/>
        <w:suppressLineNumbers w:val="0"/>
        <w:jc w:val="left"/>
        <w:rPr>
          <w:rFonts w:hint="default" w:ascii="仿宋_GB2312" w:hAnsi="宋体" w:eastAsia="仿宋_GB2312" w:cs="仿宋_GB2312"/>
          <w:snapToGrid w:val="0"/>
          <w:color w:val="000000"/>
          <w:kern w:val="0"/>
          <w:sz w:val="24"/>
          <w:szCs w:val="24"/>
          <w:lang w:val="en-US" w:eastAsia="zh-CN" w:bidi="ar"/>
        </w:rPr>
      </w:pPr>
      <w:r>
        <w:rPr>
          <w:rFonts w:hint="default" w:ascii="仿宋_GB2312" w:hAnsi="宋体" w:eastAsia="仿宋_GB2312" w:cs="仿宋_GB2312"/>
          <w:snapToGrid w:val="0"/>
          <w:color w:val="000000"/>
          <w:kern w:val="0"/>
          <w:sz w:val="24"/>
          <w:szCs w:val="24"/>
          <w:lang w:val="en-US" w:eastAsia="zh-CN" w:bidi="ar"/>
        </w:rPr>
        <w:t xml:space="preserve"> </w:t>
      </w:r>
    </w:p>
    <w:p w14:paraId="34F5EEBF">
      <w:pPr>
        <w:keepNext w:val="0"/>
        <w:keepLines w:val="0"/>
        <w:widowControl/>
        <w:suppressLineNumbers w:val="0"/>
        <w:jc w:val="left"/>
        <w:rPr>
          <w:rFonts w:hint="default" w:ascii="仿宋_GB2312" w:hAnsi="宋体" w:eastAsia="仿宋_GB2312" w:cs="仿宋_GB2312"/>
          <w:snapToGrid w:val="0"/>
          <w:color w:val="000000"/>
          <w:kern w:val="0"/>
          <w:sz w:val="24"/>
          <w:szCs w:val="24"/>
          <w:lang w:val="en-US" w:eastAsia="zh-CN" w:bidi="ar"/>
        </w:rPr>
      </w:pPr>
    </w:p>
    <w:p w14:paraId="5E363C28">
      <w:pPr>
        <w:keepNext w:val="0"/>
        <w:keepLines w:val="0"/>
        <w:widowControl/>
        <w:suppressLineNumbers w:val="0"/>
        <w:jc w:val="left"/>
        <w:rPr>
          <w:rFonts w:hint="default" w:ascii="仿宋_GB2312" w:hAnsi="宋体" w:eastAsia="仿宋_GB2312" w:cs="仿宋_GB2312"/>
          <w:snapToGrid w:val="0"/>
          <w:color w:val="000000"/>
          <w:kern w:val="0"/>
          <w:sz w:val="24"/>
          <w:szCs w:val="24"/>
          <w:lang w:val="en-US" w:eastAsia="zh-CN" w:bidi="ar"/>
        </w:rPr>
      </w:pPr>
    </w:p>
    <w:p w14:paraId="63FCC3E6">
      <w:pPr>
        <w:keepNext w:val="0"/>
        <w:keepLines w:val="0"/>
        <w:widowControl/>
        <w:suppressLineNumbers w:val="0"/>
        <w:jc w:val="left"/>
        <w:rPr>
          <w:rFonts w:hint="default" w:ascii="仿宋_GB2312" w:hAnsi="宋体" w:eastAsia="仿宋_GB2312" w:cs="仿宋_GB2312"/>
          <w:snapToGrid w:val="0"/>
          <w:color w:val="000000"/>
          <w:kern w:val="0"/>
          <w:sz w:val="24"/>
          <w:szCs w:val="24"/>
          <w:lang w:val="en-US" w:eastAsia="zh-CN" w:bidi="ar"/>
        </w:rPr>
      </w:pPr>
    </w:p>
    <w:p w14:paraId="204EC7F9">
      <w:pPr>
        <w:numPr>
          <w:ilvl w:val="0"/>
          <w:numId w:val="0"/>
        </w:numPr>
        <w:kinsoku w:val="0"/>
        <w:autoSpaceDE w:val="0"/>
        <w:autoSpaceDN w:val="0"/>
        <w:adjustRightInd w:val="0"/>
        <w:snapToGrid w:val="0"/>
        <w:textAlignment w:val="baseline"/>
        <w:rPr>
          <w:rFonts w:hint="eastAsia"/>
          <w:lang w:eastAsia="zh-CN"/>
        </w:rPr>
      </w:pPr>
    </w:p>
    <w:p w14:paraId="49757063">
      <w:pPr>
        <w:numPr>
          <w:ilvl w:val="0"/>
          <w:numId w:val="0"/>
        </w:numPr>
        <w:kinsoku w:val="0"/>
        <w:autoSpaceDE w:val="0"/>
        <w:autoSpaceDN w:val="0"/>
        <w:adjustRightInd w:val="0"/>
        <w:snapToGrid w:val="0"/>
        <w:textAlignment w:val="baseline"/>
        <w:rPr>
          <w:rFonts w:hint="eastAsia"/>
          <w:lang w:eastAsia="zh-CN"/>
        </w:rPr>
      </w:pPr>
    </w:p>
    <w:p w14:paraId="66560720">
      <w:pPr>
        <w:numPr>
          <w:ilvl w:val="0"/>
          <w:numId w:val="0"/>
        </w:numPr>
        <w:kinsoku w:val="0"/>
        <w:autoSpaceDE w:val="0"/>
        <w:autoSpaceDN w:val="0"/>
        <w:adjustRightInd w:val="0"/>
        <w:snapToGrid w:val="0"/>
        <w:textAlignment w:val="baseline"/>
        <w:rPr>
          <w:rFonts w:hint="eastAsia"/>
          <w:lang w:eastAsia="zh-CN"/>
        </w:rPr>
      </w:pPr>
    </w:p>
    <w:p w14:paraId="5A47B846">
      <w:pPr>
        <w:numPr>
          <w:ilvl w:val="0"/>
          <w:numId w:val="0"/>
        </w:numPr>
        <w:kinsoku w:val="0"/>
        <w:autoSpaceDE w:val="0"/>
        <w:autoSpaceDN w:val="0"/>
        <w:adjustRightInd w:val="0"/>
        <w:snapToGrid w:val="0"/>
        <w:textAlignment w:val="baseline"/>
        <w:rPr>
          <w:rFonts w:hint="eastAsia"/>
          <w:lang w:eastAsia="zh-CN"/>
        </w:rPr>
      </w:pPr>
    </w:p>
    <w:p w14:paraId="3D2D8B73">
      <w:pPr>
        <w:pStyle w:val="2"/>
        <w:bidi w:val="0"/>
        <w:rPr>
          <w:lang w:eastAsia="zh-CN"/>
        </w:rPr>
      </w:pPr>
      <w:r>
        <w:rPr>
          <w:lang w:eastAsia="zh-CN"/>
        </w:rPr>
        <w:t>五、</w:t>
      </w:r>
      <w:r>
        <w:rPr>
          <w:rFonts w:hint="eastAsia"/>
          <w:lang w:eastAsia="zh-CN"/>
        </w:rPr>
        <w:t>技术团队组成人员</w:t>
      </w:r>
      <w:bookmarkEnd w:id="10"/>
    </w:p>
    <w:p w14:paraId="63487CAF">
      <w:pPr>
        <w:pStyle w:val="3"/>
        <w:spacing w:before="216" w:line="192" w:lineRule="auto"/>
        <w:ind w:left="568"/>
        <w:outlineLvl w:val="1"/>
        <w:rPr>
          <w:spacing w:val="2"/>
          <w:sz w:val="28"/>
          <w:szCs w:val="28"/>
          <w:lang w:eastAsia="zh-CN"/>
        </w:rPr>
      </w:pPr>
      <w:r>
        <w:rPr>
          <w:spacing w:val="2"/>
          <w:sz w:val="28"/>
          <w:szCs w:val="28"/>
          <w:lang w:eastAsia="zh-CN"/>
        </w:rPr>
        <w:t>（一）</w:t>
      </w:r>
      <w:r>
        <w:rPr>
          <w:rFonts w:hint="eastAsia"/>
          <w:spacing w:val="2"/>
          <w:sz w:val="28"/>
          <w:szCs w:val="28"/>
          <w:lang w:eastAsia="zh-CN"/>
        </w:rPr>
        <w:t>专家组</w:t>
      </w:r>
    </w:p>
    <w:p w14:paraId="02F6439D">
      <w:pPr>
        <w:spacing w:line="540" w:lineRule="exact"/>
        <w:ind w:firstLine="584" w:firstLineChars="200"/>
        <w:rPr>
          <w:rFonts w:hint="default" w:ascii="仿宋" w:hAnsi="仿宋" w:eastAsia="仿宋" w:cs="仿宋"/>
          <w:color w:val="000000" w:themeColor="text1"/>
          <w:spacing w:val="-4"/>
          <w:sz w:val="30"/>
          <w:szCs w:val="30"/>
          <w:lang w:val="en-US" w:eastAsia="zh-CN"/>
          <w14:textFill>
            <w14:solidFill>
              <w14:schemeClr w14:val="tx1"/>
            </w14:solidFill>
          </w14:textFill>
        </w:rPr>
      </w:pPr>
      <w:r>
        <w:rPr>
          <w:rFonts w:hint="eastAsia" w:ascii="仿宋" w:hAnsi="仿宋" w:eastAsia="仿宋" w:cs="仿宋"/>
          <w:color w:val="000000" w:themeColor="text1"/>
          <w:spacing w:val="-4"/>
          <w:sz w:val="30"/>
          <w:szCs w:val="30"/>
          <w:lang w:eastAsia="zh-CN"/>
          <w14:textFill>
            <w14:solidFill>
              <w14:schemeClr w14:val="tx1"/>
            </w14:solidFill>
          </w14:textFill>
        </w:rPr>
        <w:t>1</w:t>
      </w:r>
      <w:r>
        <w:rPr>
          <w:rFonts w:ascii="仿宋" w:hAnsi="仿宋" w:eastAsia="仿宋" w:cs="仿宋"/>
          <w:color w:val="000000" w:themeColor="text1"/>
          <w:spacing w:val="-4"/>
          <w:sz w:val="30"/>
          <w:szCs w:val="30"/>
          <w:lang w:eastAsia="zh-CN"/>
          <w14:textFill>
            <w14:solidFill>
              <w14:schemeClr w14:val="tx1"/>
            </w14:solidFill>
          </w14:textFill>
        </w:rPr>
        <w:t>.</w:t>
      </w:r>
      <w:r>
        <w:rPr>
          <w:rFonts w:hint="eastAsia" w:ascii="仿宋" w:hAnsi="仿宋" w:eastAsia="仿宋" w:cs="仿宋"/>
          <w:color w:val="000000" w:themeColor="text1"/>
          <w:spacing w:val="-4"/>
          <w:sz w:val="30"/>
          <w:szCs w:val="30"/>
          <w:lang w:eastAsia="zh-CN"/>
          <w14:textFill>
            <w14:solidFill>
              <w14:schemeClr w14:val="tx1"/>
            </w14:solidFill>
          </w14:textFill>
        </w:rPr>
        <w:t>专家组长：</w:t>
      </w:r>
      <w:r>
        <w:rPr>
          <w:rFonts w:hint="eastAsia" w:ascii="仿宋" w:hAnsi="仿宋" w:eastAsia="仿宋" w:cs="仿宋"/>
          <w:color w:val="000000" w:themeColor="text1"/>
          <w:spacing w:val="-4"/>
          <w:sz w:val="30"/>
          <w:szCs w:val="30"/>
          <w:lang w:val="en-US" w:eastAsia="zh-CN"/>
          <w14:textFill>
            <w14:solidFill>
              <w14:schemeClr w14:val="tx1"/>
            </w14:solidFill>
          </w14:textFill>
        </w:rPr>
        <w:t>林广生</w:t>
      </w:r>
    </w:p>
    <w:p w14:paraId="7DE7C455">
      <w:pPr>
        <w:spacing w:line="540" w:lineRule="exact"/>
        <w:ind w:firstLine="584" w:firstLineChars="200"/>
        <w:rPr>
          <w:rFonts w:hint="default" w:ascii="仿宋" w:hAnsi="仿宋" w:eastAsia="仿宋" w:cs="仿宋"/>
          <w:color w:val="000000" w:themeColor="text1"/>
          <w:spacing w:val="-4"/>
          <w:sz w:val="30"/>
          <w:szCs w:val="30"/>
          <w:lang w:val="en-US" w:eastAsia="zh-CN"/>
          <w14:textFill>
            <w14:solidFill>
              <w14:schemeClr w14:val="tx1"/>
            </w14:solidFill>
          </w14:textFill>
        </w:rPr>
      </w:pPr>
      <w:r>
        <w:rPr>
          <w:rFonts w:hint="eastAsia" w:ascii="仿宋" w:hAnsi="仿宋" w:eastAsia="仿宋" w:cs="仿宋"/>
          <w:color w:val="000000" w:themeColor="text1"/>
          <w:spacing w:val="-4"/>
          <w:sz w:val="30"/>
          <w:szCs w:val="30"/>
          <w:lang w:eastAsia="zh-CN"/>
          <w14:textFill>
            <w14:solidFill>
              <w14:schemeClr w14:val="tx1"/>
            </w14:solidFill>
          </w14:textFill>
        </w:rPr>
        <w:t>2</w:t>
      </w:r>
      <w:r>
        <w:rPr>
          <w:rFonts w:ascii="仿宋" w:hAnsi="仿宋" w:eastAsia="仿宋" w:cs="仿宋"/>
          <w:color w:val="000000" w:themeColor="text1"/>
          <w:spacing w:val="-4"/>
          <w:sz w:val="30"/>
          <w:szCs w:val="30"/>
          <w:lang w:eastAsia="zh-CN"/>
          <w14:textFill>
            <w14:solidFill>
              <w14:schemeClr w14:val="tx1"/>
            </w14:solidFill>
          </w14:textFill>
        </w:rPr>
        <w:t>.</w:t>
      </w:r>
      <w:r>
        <w:rPr>
          <w:rFonts w:hint="eastAsia" w:ascii="仿宋" w:hAnsi="仿宋" w:eastAsia="仿宋" w:cs="仿宋"/>
          <w:color w:val="000000" w:themeColor="text1"/>
          <w:spacing w:val="-4"/>
          <w:sz w:val="30"/>
          <w:szCs w:val="30"/>
          <w:lang w:eastAsia="zh-CN"/>
          <w14:textFill>
            <w14:solidFill>
              <w14:schemeClr w14:val="tx1"/>
            </w14:solidFill>
          </w14:textFill>
        </w:rPr>
        <w:t>专家组员：</w:t>
      </w:r>
      <w:r>
        <w:rPr>
          <w:rFonts w:hint="eastAsia" w:ascii="仿宋" w:hAnsi="仿宋" w:eastAsia="仿宋" w:cs="仿宋"/>
          <w:color w:val="000000" w:themeColor="text1"/>
          <w:spacing w:val="-4"/>
          <w:sz w:val="30"/>
          <w:szCs w:val="30"/>
          <w:lang w:val="en-US" w:eastAsia="zh-CN"/>
          <w14:textFill>
            <w14:solidFill>
              <w14:schemeClr w14:val="tx1"/>
            </w14:solidFill>
          </w14:textFill>
        </w:rPr>
        <w:t>张建伟  邓卫斌</w:t>
      </w:r>
    </w:p>
    <w:p w14:paraId="047122C8">
      <w:pPr>
        <w:pStyle w:val="3"/>
        <w:spacing w:before="216" w:line="192" w:lineRule="auto"/>
        <w:ind w:left="568"/>
        <w:outlineLvl w:val="1"/>
        <w:rPr>
          <w:color w:val="000000" w:themeColor="text1"/>
          <w:spacing w:val="2"/>
          <w:sz w:val="28"/>
          <w:szCs w:val="28"/>
          <w:lang w:eastAsia="zh-CN"/>
          <w14:textFill>
            <w14:solidFill>
              <w14:schemeClr w14:val="tx1"/>
            </w14:solidFill>
          </w14:textFill>
        </w:rPr>
      </w:pPr>
      <w:r>
        <w:rPr>
          <w:rFonts w:hint="eastAsia"/>
          <w:color w:val="000000" w:themeColor="text1"/>
          <w:spacing w:val="2"/>
          <w:sz w:val="28"/>
          <w:szCs w:val="28"/>
          <w:lang w:eastAsia="zh-CN"/>
          <w14:textFill>
            <w14:solidFill>
              <w14:schemeClr w14:val="tx1"/>
            </w14:solidFill>
          </w14:textFill>
        </w:rPr>
        <w:t>（二）裁判组</w:t>
      </w:r>
    </w:p>
    <w:p w14:paraId="702AEA3D">
      <w:pPr>
        <w:spacing w:line="540" w:lineRule="exact"/>
        <w:ind w:firstLine="584" w:firstLineChars="200"/>
        <w:rPr>
          <w:rFonts w:ascii="仿宋" w:hAnsi="仿宋" w:eastAsia="仿宋" w:cs="仿宋"/>
          <w:color w:val="000000" w:themeColor="text1"/>
          <w:spacing w:val="-4"/>
          <w:sz w:val="30"/>
          <w:szCs w:val="30"/>
          <w:lang w:eastAsia="zh-CN"/>
          <w14:textFill>
            <w14:solidFill>
              <w14:schemeClr w14:val="tx1"/>
            </w14:solidFill>
          </w14:textFill>
        </w:rPr>
      </w:pPr>
      <w:r>
        <w:rPr>
          <w:rFonts w:hint="eastAsia" w:ascii="仿宋" w:hAnsi="仿宋" w:eastAsia="仿宋" w:cs="仿宋"/>
          <w:color w:val="000000" w:themeColor="text1"/>
          <w:spacing w:val="-4"/>
          <w:sz w:val="30"/>
          <w:szCs w:val="30"/>
          <w:lang w:eastAsia="zh-CN"/>
          <w14:textFill>
            <w14:solidFill>
              <w14:schemeClr w14:val="tx1"/>
            </w14:solidFill>
          </w14:textFill>
        </w:rPr>
        <w:t>1</w:t>
      </w:r>
      <w:r>
        <w:rPr>
          <w:rFonts w:ascii="仿宋" w:hAnsi="仿宋" w:eastAsia="仿宋" w:cs="仿宋"/>
          <w:color w:val="000000" w:themeColor="text1"/>
          <w:spacing w:val="-4"/>
          <w:sz w:val="30"/>
          <w:szCs w:val="30"/>
          <w:lang w:eastAsia="zh-CN"/>
          <w14:textFill>
            <w14:solidFill>
              <w14:schemeClr w14:val="tx1"/>
            </w14:solidFill>
          </w14:textFill>
        </w:rPr>
        <w:t>.</w:t>
      </w:r>
      <w:r>
        <w:rPr>
          <w:rFonts w:hint="eastAsia" w:ascii="仿宋" w:hAnsi="仿宋" w:eastAsia="仿宋" w:cs="仿宋"/>
          <w:color w:val="000000" w:themeColor="text1"/>
          <w:spacing w:val="-4"/>
          <w:sz w:val="30"/>
          <w:szCs w:val="30"/>
          <w:lang w:eastAsia="zh-CN"/>
          <w14:textFill>
            <w14:solidFill>
              <w14:schemeClr w14:val="tx1"/>
            </w14:solidFill>
          </w14:textFill>
        </w:rPr>
        <w:t>裁判长</w:t>
      </w:r>
      <w:r>
        <w:rPr>
          <w:rFonts w:ascii="仿宋" w:hAnsi="仿宋" w:eastAsia="仿宋" w:cs="仿宋"/>
          <w:color w:val="000000" w:themeColor="text1"/>
          <w:spacing w:val="-4"/>
          <w:sz w:val="30"/>
          <w:szCs w:val="30"/>
          <w:lang w:eastAsia="zh-CN"/>
          <w14:textFill>
            <w14:solidFill>
              <w14:schemeClr w14:val="tx1"/>
            </w14:solidFill>
          </w14:textFill>
        </w:rPr>
        <w:t>:</w:t>
      </w:r>
      <w:r>
        <w:rPr>
          <w:rFonts w:hint="eastAsia"/>
          <w:color w:val="000000" w:themeColor="text1"/>
          <w:lang w:eastAsia="zh-CN"/>
          <w14:textFill>
            <w14:solidFill>
              <w14:schemeClr w14:val="tx1"/>
            </w14:solidFill>
          </w14:textFill>
        </w:rPr>
        <w:t xml:space="preserve"> </w:t>
      </w:r>
      <w:r>
        <w:rPr>
          <w:rFonts w:hint="eastAsia" w:ascii="仿宋" w:hAnsi="仿宋" w:eastAsia="仿宋" w:cs="仿宋"/>
          <w:color w:val="000000" w:themeColor="text1"/>
          <w:spacing w:val="-4"/>
          <w:sz w:val="30"/>
          <w:szCs w:val="30"/>
          <w:lang w:val="en-US" w:eastAsia="zh-CN"/>
          <w14:textFill>
            <w14:solidFill>
              <w14:schemeClr w14:val="tx1"/>
            </w14:solidFill>
          </w14:textFill>
        </w:rPr>
        <w:t>韩爱军</w:t>
      </w:r>
    </w:p>
    <w:p w14:paraId="479302E2">
      <w:pPr>
        <w:spacing w:line="540" w:lineRule="exact"/>
        <w:ind w:firstLine="584" w:firstLineChars="200"/>
        <w:rPr>
          <w:rFonts w:ascii="仿宋" w:hAnsi="仿宋" w:eastAsia="仿宋" w:cs="仿宋"/>
          <w:color w:val="000000" w:themeColor="text1"/>
          <w:spacing w:val="-4"/>
          <w:sz w:val="30"/>
          <w:szCs w:val="30"/>
          <w:lang w:eastAsia="zh-CN"/>
          <w14:textFill>
            <w14:solidFill>
              <w14:schemeClr w14:val="tx1"/>
            </w14:solidFill>
          </w14:textFill>
        </w:rPr>
      </w:pPr>
      <w:r>
        <w:rPr>
          <w:rFonts w:ascii="仿宋" w:hAnsi="仿宋" w:eastAsia="仿宋" w:cs="仿宋"/>
          <w:color w:val="000000" w:themeColor="text1"/>
          <w:spacing w:val="-4"/>
          <w:sz w:val="30"/>
          <w:szCs w:val="30"/>
          <w:lang w:eastAsia="zh-CN"/>
          <w14:textFill>
            <w14:solidFill>
              <w14:schemeClr w14:val="tx1"/>
            </w14:solidFill>
          </w14:textFill>
        </w:rPr>
        <w:t>2.</w:t>
      </w:r>
      <w:r>
        <w:rPr>
          <w:rFonts w:hint="eastAsia" w:ascii="仿宋" w:hAnsi="仿宋" w:eastAsia="仿宋" w:cs="仿宋"/>
          <w:color w:val="000000" w:themeColor="text1"/>
          <w:spacing w:val="-4"/>
          <w:sz w:val="30"/>
          <w:szCs w:val="30"/>
          <w:lang w:eastAsia="zh-CN"/>
          <w14:textFill>
            <w14:solidFill>
              <w14:schemeClr w14:val="tx1"/>
            </w14:solidFill>
          </w14:textFill>
        </w:rPr>
        <w:t>裁判员：</w:t>
      </w:r>
      <w:r>
        <w:rPr>
          <w:rFonts w:hint="eastAsia" w:ascii="仿宋" w:hAnsi="仿宋" w:eastAsia="仿宋" w:cs="仿宋"/>
          <w:color w:val="000000" w:themeColor="text1"/>
          <w:spacing w:val="-4"/>
          <w:sz w:val="30"/>
          <w:szCs w:val="30"/>
          <w:lang w:val="en-US" w:eastAsia="zh-CN"/>
          <w14:textFill>
            <w14:solidFill>
              <w14:schemeClr w14:val="tx1"/>
            </w14:solidFill>
          </w14:textFill>
        </w:rPr>
        <w:t>邵怀富、韦定华、张进军、柳继军、王鹏</w:t>
      </w:r>
      <w:r>
        <w:rPr>
          <w:rFonts w:hint="eastAsia" w:ascii="仿宋" w:hAnsi="仿宋" w:eastAsia="仿宋" w:cs="仿宋"/>
          <w:color w:val="000000" w:themeColor="text1"/>
          <w:spacing w:val="-4"/>
          <w:sz w:val="30"/>
          <w:szCs w:val="30"/>
          <w:lang w:eastAsia="zh-CN"/>
          <w14:textFill>
            <w14:solidFill>
              <w14:schemeClr w14:val="tx1"/>
            </w14:solidFill>
          </w14:textFill>
        </w:rPr>
        <w:t>（</w:t>
      </w:r>
      <w:r>
        <w:rPr>
          <w:rFonts w:hint="eastAsia" w:ascii="仿宋" w:hAnsi="仿宋" w:eastAsia="仿宋" w:cs="仿宋"/>
          <w:color w:val="000000" w:themeColor="text1"/>
          <w:spacing w:val="-4"/>
          <w:sz w:val="30"/>
          <w:szCs w:val="30"/>
          <w:lang w:val="en-US" w:eastAsia="zh-CN"/>
          <w14:textFill>
            <w14:solidFill>
              <w14:schemeClr w14:val="tx1"/>
            </w14:solidFill>
          </w14:textFill>
        </w:rPr>
        <w:t>5-7人</w:t>
      </w:r>
      <w:r>
        <w:rPr>
          <w:rFonts w:hint="eastAsia" w:ascii="仿宋" w:hAnsi="仿宋" w:eastAsia="仿宋" w:cs="仿宋"/>
          <w:color w:val="000000" w:themeColor="text1"/>
          <w:spacing w:val="-4"/>
          <w:sz w:val="30"/>
          <w:szCs w:val="30"/>
          <w:lang w:eastAsia="zh-CN"/>
          <w14:textFill>
            <w14:solidFill>
              <w14:schemeClr w14:val="tx1"/>
            </w14:solidFill>
          </w14:textFill>
        </w:rPr>
        <w:t>）</w:t>
      </w:r>
    </w:p>
    <w:p w14:paraId="4EED54C4">
      <w:pPr>
        <w:pStyle w:val="2"/>
        <w:bidi w:val="0"/>
        <w:rPr>
          <w:lang w:eastAsia="zh-CN"/>
        </w:rPr>
      </w:pPr>
      <w:bookmarkStart w:id="11" w:name="_Toc3246"/>
      <w:r>
        <w:rPr>
          <w:lang w:eastAsia="zh-CN"/>
        </w:rPr>
        <w:t>六、纪律要求</w:t>
      </w:r>
      <w:bookmarkEnd w:id="11"/>
    </w:p>
    <w:p w14:paraId="30DB6A4B">
      <w:pPr>
        <w:pStyle w:val="3"/>
        <w:spacing w:before="216" w:line="192" w:lineRule="auto"/>
        <w:ind w:left="568"/>
        <w:outlineLvl w:val="1"/>
        <w:rPr>
          <w:spacing w:val="2"/>
          <w:sz w:val="28"/>
          <w:szCs w:val="28"/>
          <w:lang w:eastAsia="zh-CN"/>
        </w:rPr>
      </w:pPr>
      <w:r>
        <w:rPr>
          <w:rFonts w:hint="eastAsia"/>
          <w:spacing w:val="2"/>
          <w:sz w:val="28"/>
          <w:szCs w:val="28"/>
          <w:lang w:eastAsia="zh-CN"/>
        </w:rPr>
        <w:t>（一）通则</w:t>
      </w:r>
    </w:p>
    <w:p w14:paraId="6D5E23F2">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1.本赛项将严格遵守公平、公正、公开的原则，对出现的任何违规行为，一经查出严肃处理。</w:t>
      </w:r>
    </w:p>
    <w:p w14:paraId="16CBE09C">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2.参与本赛项的所有人员应按规定的时间、地点、场次参加比赛，不得无故迟到、早退、缺席。</w:t>
      </w:r>
    </w:p>
    <w:p w14:paraId="22EAEB2E">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3.参与本赛项的所有人员应当佩带组委会配发的证件，服从组委会统一指挥，共同保证比赛顺利进行。</w:t>
      </w:r>
    </w:p>
    <w:p w14:paraId="6932D15B">
      <w:pPr>
        <w:pStyle w:val="3"/>
        <w:spacing w:before="216" w:line="192" w:lineRule="auto"/>
        <w:ind w:left="568"/>
        <w:outlineLvl w:val="1"/>
        <w:rPr>
          <w:spacing w:val="2"/>
          <w:sz w:val="28"/>
          <w:szCs w:val="28"/>
          <w:lang w:eastAsia="zh-CN"/>
        </w:rPr>
      </w:pPr>
      <w:r>
        <w:rPr>
          <w:rFonts w:hint="eastAsia"/>
          <w:spacing w:val="2"/>
          <w:sz w:val="28"/>
          <w:szCs w:val="28"/>
          <w:lang w:eastAsia="zh-CN"/>
        </w:rPr>
        <w:t>（二）参赛选手</w:t>
      </w:r>
    </w:p>
    <w:p w14:paraId="2AEF18E4">
      <w:pPr>
        <w:spacing w:line="540" w:lineRule="exact"/>
        <w:ind w:firstLine="584" w:firstLineChars="200"/>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1.参赛选手需携带参赛证、身份证等证件进入赛场，并将手机关机。未带证件者，不得参赛。</w:t>
      </w:r>
    </w:p>
    <w:p w14:paraId="46A6E878">
      <w:pPr>
        <w:spacing w:line="540" w:lineRule="exact"/>
        <w:ind w:firstLine="584" w:firstLineChars="200"/>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2.参赛选手在比赛开始前30分钟进入比赛候考区，在现场工作人员引导下，进行赛前准备，检查并确认所需物品。</w:t>
      </w:r>
    </w:p>
    <w:p w14:paraId="22FDBB2D">
      <w:pPr>
        <w:spacing w:line="540" w:lineRule="exact"/>
        <w:ind w:firstLine="584" w:firstLineChars="200"/>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3.理论考试开始前15分钟，参赛选手凭证件进入规定考场，并将证件放在考桌左上角，以便监考人员查验。考试过程中，参赛选手应独立完成答题。</w:t>
      </w:r>
    </w:p>
    <w:p w14:paraId="00B69E97">
      <w:pPr>
        <w:spacing w:line="540" w:lineRule="exact"/>
        <w:ind w:firstLine="584" w:firstLineChars="200"/>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4.参赛选手必须按指定时间进入赛场，迟到30分钟者不得参加比赛。</w:t>
      </w:r>
    </w:p>
    <w:p w14:paraId="005158A7">
      <w:pPr>
        <w:spacing w:line="540" w:lineRule="exact"/>
        <w:ind w:firstLine="584" w:firstLineChars="200"/>
        <w:outlineLvl w:val="2"/>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5.裁判长宣布比赛开始，参赛选手方可答题，比赛开始计时。</w:t>
      </w:r>
    </w:p>
    <w:p w14:paraId="5D55740E">
      <w:pPr>
        <w:spacing w:line="540" w:lineRule="exact"/>
        <w:ind w:firstLine="584" w:firstLineChars="200"/>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6.裁判长宣布比赛结束，参赛选手应立即停止答题，不得以任何理由拖延竞赛时间，若提前结束比赛，应向裁判员举手示意，经裁判员同意后，视为提前结束比赛。</w:t>
      </w:r>
    </w:p>
    <w:p w14:paraId="50431448">
      <w:pPr>
        <w:spacing w:line="540" w:lineRule="exact"/>
        <w:ind w:firstLine="584" w:firstLineChars="200"/>
        <w:outlineLvl w:val="2"/>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7.参赛人员应爱护赛场所有设施，自觉维持赛场环境卫生，</w:t>
      </w:r>
    </w:p>
    <w:p w14:paraId="7C259D62">
      <w:pPr>
        <w:spacing w:line="540" w:lineRule="exact"/>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操作设备应谨慎，不得违章操作，如遇损坏、丢失等现象照价赔偿。</w:t>
      </w:r>
    </w:p>
    <w:p w14:paraId="6CDC55D2">
      <w:pPr>
        <w:spacing w:line="540" w:lineRule="exact"/>
        <w:ind w:firstLine="584" w:firstLineChars="200"/>
        <w:rPr>
          <w:rFonts w:ascii="仿宋" w:hAnsi="仿宋" w:eastAsia="仿宋" w:cs="仿宋"/>
          <w:spacing w:val="-4"/>
          <w:sz w:val="30"/>
          <w:szCs w:val="30"/>
          <w:lang w:eastAsia="zh-CN"/>
        </w:rPr>
      </w:pPr>
      <w:r>
        <w:rPr>
          <w:rFonts w:hint="eastAsia" w:ascii="仿宋" w:hAnsi="仿宋" w:eastAsia="仿宋" w:cs="仿宋"/>
          <w:spacing w:val="-4"/>
          <w:sz w:val="30"/>
          <w:szCs w:val="30"/>
          <w:lang w:eastAsia="zh-CN"/>
        </w:rPr>
        <w:t>8.比赛过程中，参赛选手须严格遵守操作规程，确保人身及设备安全，并接受裁判员的监督和警示，出现设备故障等问题时，参赛选手应请裁判员对故障进行确认，对于因设备自身故障造成暂停和时间损失，该参赛选手的比赛时间酌情增补。</w:t>
      </w:r>
    </w:p>
    <w:p w14:paraId="499B929F">
      <w:pPr>
        <w:pStyle w:val="3"/>
        <w:spacing w:before="216" w:line="192" w:lineRule="auto"/>
        <w:ind w:left="568"/>
        <w:outlineLvl w:val="1"/>
        <w:rPr>
          <w:spacing w:val="2"/>
          <w:sz w:val="28"/>
          <w:szCs w:val="28"/>
          <w:lang w:eastAsia="zh-CN"/>
        </w:rPr>
      </w:pPr>
      <w:r>
        <w:rPr>
          <w:rFonts w:hint="eastAsia"/>
          <w:spacing w:val="2"/>
          <w:sz w:val="28"/>
          <w:szCs w:val="28"/>
          <w:lang w:eastAsia="zh-CN"/>
        </w:rPr>
        <w:t>（三）裁判人员</w:t>
      </w:r>
    </w:p>
    <w:p w14:paraId="1572B7E2">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1.裁判人员在比赛前必须了解赛场情况、比赛规则及注意事项，不得泄露比赛的有关信息。</w:t>
      </w:r>
    </w:p>
    <w:p w14:paraId="2485F8D4">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2.赛前裁判人员要集中学习有关文件，明确责任和分工，熟悉和掌握比赛的具体要求，严格遵守竞赛规则，做到评判公正，一视同仁。</w:t>
      </w:r>
    </w:p>
    <w:p w14:paraId="454A1869">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3.裁判人员应在工作前30分钟到达比赛场地，佩戴好执裁证，将手机处于关闭状态。裁判员应仪表整洁，语言举止文明礼貌，服从裁判长的领导，遵守评判职业道德，文明评判。</w:t>
      </w:r>
    </w:p>
    <w:p w14:paraId="0C09BFFD">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4.参赛选手进入考场时，裁判人员要认真检查参赛选手的证件，确保无差错，发现与证件不符者，裁判人员有权制止本参赛选手进入考场。</w:t>
      </w:r>
    </w:p>
    <w:p w14:paraId="36FFEAA8">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5.裁判人员应严格遵守竞赛规则，认真执行竞赛项目的评分标准，以公平、公正、真实、一视同仁的原则，准确把握评分尺度，对在竞赛执裁过程中出现徇私舞弊的情况，一经查实，裁判长有权 取消其执裁资格，并报竞赛组委会备案。</w:t>
      </w:r>
    </w:p>
    <w:p w14:paraId="4BDD6B85">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6.裁判人员要严格执行比赛纪律，对选手的违规行为，进行严肃处理，并记录在案。</w:t>
      </w:r>
      <w:r>
        <w:rPr>
          <w:rFonts w:hint="eastAsia" w:ascii="仿宋" w:hAnsi="仿宋" w:eastAsia="仿宋" w:cs="仿宋"/>
          <w:spacing w:val="-4"/>
          <w:sz w:val="30"/>
          <w:szCs w:val="30"/>
          <w:lang w:eastAsia="zh-CN"/>
        </w:rPr>
        <w:t>对竞赛中出现的严重违纪和不安全行为</w:t>
      </w:r>
    </w:p>
    <w:p w14:paraId="73DBD9BD">
      <w:pPr>
        <w:spacing w:line="540" w:lineRule="exact"/>
        <w:rPr>
          <w:rFonts w:ascii="仿宋" w:hAnsi="仿宋" w:eastAsia="仿宋" w:cs="仿宋"/>
          <w:spacing w:val="-4"/>
          <w:sz w:val="30"/>
          <w:szCs w:val="30"/>
          <w:lang w:eastAsia="zh-CN"/>
        </w:rPr>
      </w:pPr>
      <w:r>
        <w:rPr>
          <w:rFonts w:ascii="仿宋" w:hAnsi="仿宋" w:eastAsia="仿宋" w:cs="仿宋"/>
          <w:spacing w:val="-4"/>
          <w:sz w:val="30"/>
          <w:szCs w:val="30"/>
          <w:lang w:eastAsia="zh-CN"/>
        </w:rPr>
        <w:t>应及时警告，必要时可以终止比赛。</w:t>
      </w:r>
    </w:p>
    <w:p w14:paraId="414F3A74">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7.裁判人员在工作时要尊重参赛选手，与参赛选手交流时应注意方式，避免影响参赛选手情绪。</w:t>
      </w:r>
    </w:p>
    <w:p w14:paraId="033EE3AB">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8.对于竞赛过程中出现的问题或争议，裁判人员不允许在选手面前进行争论，应及时向裁判长汇报，服从裁判长的裁决，避免与参 赛选手和相关人员发生争执，否则取消评判资格。</w:t>
      </w:r>
    </w:p>
    <w:p w14:paraId="5AB9A9BD">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9、裁判人员要坚守岗位，不得擅自离开、闲聊，不得无故干扰选手竞赛，不得同参赛选手交谈与竞赛无关的话题、不得给予参赛选手任何竞赛规则范围内的提示，不得在执裁过程中接听任何电话。</w:t>
      </w:r>
    </w:p>
    <w:p w14:paraId="11D44A1C">
      <w:pPr>
        <w:spacing w:line="540" w:lineRule="exact"/>
        <w:ind w:firstLine="584" w:firstLineChars="200"/>
        <w:rPr>
          <w:rFonts w:ascii="仿宋" w:hAnsi="仿宋" w:eastAsia="仿宋" w:cs="仿宋"/>
          <w:spacing w:val="-4"/>
          <w:sz w:val="30"/>
          <w:szCs w:val="30"/>
          <w:lang w:eastAsia="zh-CN"/>
        </w:rPr>
      </w:pPr>
      <w:r>
        <w:rPr>
          <w:rFonts w:ascii="仿宋" w:hAnsi="仿宋" w:eastAsia="仿宋" w:cs="仿宋"/>
          <w:spacing w:val="-4"/>
          <w:sz w:val="30"/>
          <w:szCs w:val="30"/>
          <w:lang w:eastAsia="zh-CN"/>
        </w:rPr>
        <w:t>10、裁判人员要认真执行各项规章制度，对在整个竞赛过程中未公平、公正，弄虚作假或者隐瞒事实不报的，将根据情节轻重予以处理。</w:t>
      </w:r>
    </w:p>
    <w:p w14:paraId="42DF9038">
      <w:pPr>
        <w:pStyle w:val="2"/>
        <w:bidi w:val="0"/>
        <w:rPr>
          <w:lang w:eastAsia="zh-CN"/>
        </w:rPr>
      </w:pPr>
      <w:bookmarkStart w:id="12" w:name="_Toc1536"/>
      <w:r>
        <w:rPr>
          <w:lang w:eastAsia="zh-CN"/>
        </w:rPr>
        <w:t>七、题库</w:t>
      </w:r>
      <w:bookmarkEnd w:id="12"/>
    </w:p>
    <w:p w14:paraId="705E770B">
      <w:pPr>
        <w:pStyle w:val="3"/>
        <w:spacing w:before="216" w:line="192" w:lineRule="auto"/>
        <w:ind w:left="568"/>
        <w:outlineLvl w:val="1"/>
        <w:rPr>
          <w:rFonts w:hint="eastAsia"/>
          <w:spacing w:val="2"/>
          <w:sz w:val="28"/>
          <w:szCs w:val="28"/>
          <w:lang w:val="en-US" w:eastAsia="zh-CN"/>
        </w:rPr>
      </w:pPr>
      <w:r>
        <w:rPr>
          <w:rFonts w:hint="eastAsia"/>
          <w:spacing w:val="2"/>
          <w:sz w:val="28"/>
          <w:szCs w:val="28"/>
          <w:lang w:val="en-US" w:eastAsia="zh-CN"/>
        </w:rPr>
        <w:t>（一）理论题库</w:t>
      </w:r>
    </w:p>
    <w:p w14:paraId="272A2D8E">
      <w:pPr>
        <w:numPr>
          <w:ilvl w:val="0"/>
          <w:numId w:val="0"/>
        </w:numPr>
        <w:kinsoku/>
        <w:autoSpaceDE/>
        <w:autoSpaceDN/>
        <w:adjustRightInd/>
        <w:snapToGrid/>
        <w:spacing w:before="156" w:beforeLines="50" w:after="156" w:afterLines="50" w:line="400" w:lineRule="exact"/>
        <w:ind w:firstLine="630" w:firstLineChars="300"/>
        <w:jc w:val="both"/>
        <w:textAlignment w:val="auto"/>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（见附件1）</w:t>
      </w:r>
    </w:p>
    <w:p w14:paraId="676DC2D0">
      <w:pPr>
        <w:numPr>
          <w:ilvl w:val="0"/>
          <w:numId w:val="2"/>
        </w:numPr>
        <w:kinsoku/>
        <w:autoSpaceDE/>
        <w:autoSpaceDN/>
        <w:adjustRightInd/>
        <w:snapToGrid/>
        <w:spacing w:before="156" w:beforeLines="50" w:after="156" w:afterLines="50" w:line="400" w:lineRule="exact"/>
        <w:ind w:firstLine="568" w:firstLineChars="200"/>
        <w:jc w:val="both"/>
        <w:textAlignment w:val="auto"/>
        <w:outlineLvl w:val="1"/>
        <w:rPr>
          <w:rFonts w:hint="eastAsia" w:ascii="微软雅黑" w:hAnsi="微软雅黑" w:eastAsia="微软雅黑" w:cs="微软雅黑"/>
          <w:snapToGrid w:val="0"/>
          <w:color w:val="000000"/>
          <w:spacing w:val="2"/>
          <w:sz w:val="28"/>
          <w:szCs w:val="28"/>
          <w:lang w:val="en-US" w:eastAsia="zh-CN" w:bidi="ar-SA"/>
        </w:rPr>
      </w:pPr>
      <w:r>
        <w:rPr>
          <w:rFonts w:hint="eastAsia" w:ascii="微软雅黑" w:hAnsi="微软雅黑" w:eastAsia="微软雅黑" w:cs="微软雅黑"/>
          <w:snapToGrid w:val="0"/>
          <w:color w:val="000000"/>
          <w:spacing w:val="2"/>
          <w:sz w:val="28"/>
          <w:szCs w:val="28"/>
          <w:lang w:val="en-US" w:eastAsia="zh-CN" w:bidi="ar-SA"/>
        </w:rPr>
        <w:t>技能样题</w:t>
      </w:r>
    </w:p>
    <w:p w14:paraId="730B2158">
      <w:pPr>
        <w:jc w:val="center"/>
        <w:rPr>
          <w:rFonts w:hint="eastAsia" w:ascii="黑体" w:eastAsia="黑体"/>
          <w:b/>
          <w:w w:val="80"/>
          <w:sz w:val="72"/>
          <w:szCs w:val="72"/>
          <w:lang w:eastAsia="zh-CN"/>
        </w:rPr>
      </w:pPr>
    </w:p>
    <w:p w14:paraId="085E9B74">
      <w:pPr>
        <w:jc w:val="center"/>
        <w:rPr>
          <w:rFonts w:hint="eastAsia" w:ascii="黑体" w:eastAsia="黑体"/>
          <w:b/>
          <w:w w:val="80"/>
          <w:sz w:val="72"/>
          <w:szCs w:val="72"/>
          <w:lang w:eastAsia="zh-CN"/>
        </w:rPr>
      </w:pPr>
    </w:p>
    <w:p w14:paraId="6D06ACE1">
      <w:pPr>
        <w:rPr>
          <w:rFonts w:hint="eastAsia" w:ascii="黑体" w:eastAsia="黑体"/>
          <w:b/>
          <w:w w:val="80"/>
          <w:sz w:val="72"/>
          <w:szCs w:val="72"/>
          <w:lang w:eastAsia="zh-CN"/>
        </w:rPr>
      </w:pPr>
      <w:r>
        <w:rPr>
          <w:rFonts w:hint="eastAsia" w:ascii="黑体" w:eastAsia="黑体"/>
          <w:b/>
          <w:w w:val="80"/>
          <w:sz w:val="72"/>
          <w:szCs w:val="72"/>
          <w:lang w:eastAsia="zh-CN"/>
        </w:rPr>
        <w:br w:type="page"/>
      </w:r>
    </w:p>
    <w:p w14:paraId="020234AB">
      <w:pPr>
        <w:jc w:val="center"/>
        <w:rPr>
          <w:rFonts w:hint="eastAsia" w:ascii="黑体" w:eastAsia="黑体"/>
          <w:b/>
          <w:w w:val="80"/>
          <w:sz w:val="72"/>
          <w:szCs w:val="72"/>
          <w:lang w:eastAsia="zh-CN"/>
        </w:rPr>
      </w:pPr>
      <w:bookmarkStart w:id="22" w:name="_GoBack"/>
      <w:bookmarkEnd w:id="22"/>
      <w:r>
        <w:rPr>
          <w:rFonts w:hint="eastAsia" w:ascii="黑体" w:eastAsia="黑体"/>
          <w:b/>
          <w:w w:val="80"/>
          <w:sz w:val="72"/>
          <w:szCs w:val="72"/>
          <w:lang w:eastAsia="zh-CN"/>
        </w:rPr>
        <w:t>电</w:t>
      </w:r>
      <w:r>
        <w:rPr>
          <w:rFonts w:hint="eastAsia" w:ascii="黑体" w:eastAsia="黑体"/>
          <w:b/>
          <w:w w:val="80"/>
          <w:sz w:val="72"/>
          <w:szCs w:val="72"/>
          <w:lang w:val="en-US" w:eastAsia="zh-CN"/>
        </w:rPr>
        <w:t xml:space="preserve"> </w:t>
      </w:r>
      <w:r>
        <w:rPr>
          <w:rFonts w:hint="eastAsia" w:ascii="黑体" w:eastAsia="黑体"/>
          <w:b/>
          <w:w w:val="80"/>
          <w:sz w:val="72"/>
          <w:szCs w:val="72"/>
          <w:lang w:eastAsia="zh-CN"/>
        </w:rPr>
        <w:t>工</w:t>
      </w:r>
      <w:r>
        <w:rPr>
          <w:rFonts w:hint="eastAsia" w:ascii="黑体" w:eastAsia="黑体"/>
          <w:b/>
          <w:w w:val="80"/>
          <w:sz w:val="72"/>
          <w:szCs w:val="72"/>
          <w:lang w:val="en-US" w:eastAsia="zh-CN"/>
        </w:rPr>
        <w:t xml:space="preserve"> </w:t>
      </w:r>
      <w:r>
        <w:rPr>
          <w:rFonts w:hint="eastAsia" w:ascii="黑体" w:eastAsia="黑体"/>
          <w:b/>
          <w:w w:val="80"/>
          <w:sz w:val="72"/>
          <w:szCs w:val="72"/>
          <w:lang w:eastAsia="zh-CN"/>
        </w:rPr>
        <w:t>技</w:t>
      </w:r>
      <w:r>
        <w:rPr>
          <w:rFonts w:hint="eastAsia" w:ascii="黑体" w:eastAsia="黑体"/>
          <w:b/>
          <w:w w:val="80"/>
          <w:sz w:val="72"/>
          <w:szCs w:val="72"/>
          <w:lang w:val="en-US" w:eastAsia="zh-CN"/>
        </w:rPr>
        <w:t xml:space="preserve"> </w:t>
      </w:r>
      <w:r>
        <w:rPr>
          <w:rFonts w:hint="eastAsia" w:ascii="黑体" w:eastAsia="黑体"/>
          <w:b/>
          <w:w w:val="80"/>
          <w:sz w:val="72"/>
          <w:szCs w:val="72"/>
          <w:lang w:eastAsia="zh-CN"/>
        </w:rPr>
        <w:t>能</w:t>
      </w:r>
      <w:r>
        <w:rPr>
          <w:rFonts w:hint="eastAsia" w:ascii="黑体" w:eastAsia="黑体"/>
          <w:b/>
          <w:w w:val="80"/>
          <w:sz w:val="72"/>
          <w:szCs w:val="72"/>
          <w:lang w:val="en-US" w:eastAsia="zh-CN"/>
        </w:rPr>
        <w:t xml:space="preserve"> </w:t>
      </w:r>
      <w:r>
        <w:rPr>
          <w:rFonts w:hint="eastAsia" w:ascii="黑体" w:eastAsia="黑体"/>
          <w:b/>
          <w:w w:val="80"/>
          <w:sz w:val="72"/>
          <w:szCs w:val="72"/>
          <w:lang w:eastAsia="zh-CN"/>
        </w:rPr>
        <w:t>大</w:t>
      </w:r>
      <w:r>
        <w:rPr>
          <w:rFonts w:hint="eastAsia" w:ascii="黑体" w:eastAsia="黑体"/>
          <w:b/>
          <w:w w:val="80"/>
          <w:sz w:val="72"/>
          <w:szCs w:val="72"/>
          <w:lang w:val="en-US" w:eastAsia="zh-CN"/>
        </w:rPr>
        <w:t xml:space="preserve"> </w:t>
      </w:r>
      <w:r>
        <w:rPr>
          <w:rFonts w:hint="eastAsia" w:ascii="黑体" w:eastAsia="黑体"/>
          <w:b/>
          <w:w w:val="80"/>
          <w:sz w:val="72"/>
          <w:szCs w:val="72"/>
          <w:lang w:eastAsia="zh-CN"/>
        </w:rPr>
        <w:t>赛</w:t>
      </w:r>
    </w:p>
    <w:p w14:paraId="7FEC47F2">
      <w:pPr>
        <w:jc w:val="center"/>
        <w:rPr>
          <w:rFonts w:hint="eastAsia" w:ascii="黑体" w:eastAsia="黑体"/>
          <w:b/>
          <w:w w:val="80"/>
          <w:sz w:val="72"/>
          <w:szCs w:val="72"/>
        </w:rPr>
      </w:pPr>
      <w:r>
        <w:rPr>
          <w:rFonts w:hint="eastAsia"/>
          <w:b/>
          <w:sz w:val="44"/>
          <w:szCs w:val="44"/>
          <w:bdr w:val="single" w:color="auto" w:sz="4" w:space="0"/>
        </w:rPr>
        <w:t>样题</w:t>
      </w:r>
    </w:p>
    <w:p w14:paraId="4FC96B17">
      <w:pPr>
        <w:jc w:val="center"/>
        <w:rPr>
          <w:rFonts w:hint="eastAsia" w:ascii="黑体" w:eastAsia="黑体"/>
          <w:b/>
          <w:sz w:val="84"/>
          <w:szCs w:val="84"/>
        </w:rPr>
      </w:pPr>
    </w:p>
    <w:p w14:paraId="18B0D3DC">
      <w:pPr>
        <w:jc w:val="center"/>
        <w:outlineLvl w:val="0"/>
        <w:rPr>
          <w:rFonts w:hint="eastAsia" w:ascii="黑体" w:eastAsia="黑体"/>
          <w:b/>
          <w:sz w:val="84"/>
          <w:szCs w:val="84"/>
        </w:rPr>
      </w:pPr>
      <w:bookmarkStart w:id="13" w:name="_Toc25131"/>
      <w:r>
        <w:rPr>
          <w:rFonts w:hint="eastAsia" w:ascii="黑体" w:eastAsia="黑体"/>
          <w:b/>
          <w:sz w:val="84"/>
          <w:szCs w:val="84"/>
        </w:rPr>
        <w:t>工</w:t>
      </w:r>
      <w:bookmarkEnd w:id="13"/>
    </w:p>
    <w:p w14:paraId="5D15B531">
      <w:pPr>
        <w:jc w:val="center"/>
        <w:rPr>
          <w:rFonts w:hint="eastAsia" w:ascii="黑体" w:eastAsia="黑体"/>
          <w:b/>
          <w:sz w:val="84"/>
          <w:szCs w:val="84"/>
        </w:rPr>
      </w:pPr>
      <w:r>
        <w:rPr>
          <w:rFonts w:hint="eastAsia" w:ascii="黑体" w:eastAsia="黑体"/>
          <w:b/>
          <w:sz w:val="84"/>
          <w:szCs w:val="84"/>
        </w:rPr>
        <w:t>作</w:t>
      </w:r>
    </w:p>
    <w:p w14:paraId="690D2FB4">
      <w:pPr>
        <w:jc w:val="center"/>
        <w:rPr>
          <w:rFonts w:hint="eastAsia" w:ascii="黑体" w:eastAsia="黑体"/>
          <w:b/>
          <w:sz w:val="84"/>
          <w:szCs w:val="84"/>
        </w:rPr>
      </w:pPr>
      <w:r>
        <w:rPr>
          <w:rFonts w:hint="eastAsia" w:ascii="黑体" w:eastAsia="黑体"/>
          <w:b/>
          <w:sz w:val="84"/>
          <w:szCs w:val="84"/>
        </w:rPr>
        <w:t>任</w:t>
      </w:r>
    </w:p>
    <w:p w14:paraId="1831F4AD">
      <w:pPr>
        <w:jc w:val="center"/>
        <w:rPr>
          <w:rFonts w:hint="eastAsia" w:ascii="黑体" w:eastAsia="黑体"/>
          <w:b/>
          <w:sz w:val="84"/>
          <w:szCs w:val="84"/>
        </w:rPr>
      </w:pPr>
      <w:r>
        <w:rPr>
          <w:rFonts w:hint="eastAsia" w:ascii="黑体" w:eastAsia="黑体"/>
          <w:b/>
          <w:sz w:val="84"/>
          <w:szCs w:val="84"/>
        </w:rPr>
        <w:t>务</w:t>
      </w:r>
    </w:p>
    <w:p w14:paraId="4DADACE2">
      <w:pPr>
        <w:jc w:val="center"/>
        <w:rPr>
          <w:rFonts w:hint="eastAsia" w:ascii="黑体" w:eastAsia="黑体"/>
          <w:b/>
          <w:sz w:val="84"/>
          <w:szCs w:val="84"/>
        </w:rPr>
      </w:pPr>
      <w:r>
        <w:rPr>
          <w:rFonts w:hint="eastAsia" w:ascii="黑体" w:eastAsia="黑体"/>
          <w:b/>
          <w:sz w:val="84"/>
          <w:szCs w:val="84"/>
        </w:rPr>
        <w:t>书</w:t>
      </w:r>
    </w:p>
    <w:p w14:paraId="4B56BE47">
      <w:pPr>
        <w:jc w:val="center"/>
        <w:rPr>
          <w:rFonts w:hint="eastAsia"/>
          <w:b/>
          <w:sz w:val="32"/>
          <w:szCs w:val="32"/>
        </w:rPr>
      </w:pPr>
    </w:p>
    <w:p w14:paraId="13F31747">
      <w:pPr>
        <w:jc w:val="center"/>
        <w:rPr>
          <w:rFonts w:hint="eastAsia"/>
          <w:b/>
          <w:sz w:val="32"/>
          <w:szCs w:val="32"/>
        </w:rPr>
      </w:pPr>
    </w:p>
    <w:p w14:paraId="45154069">
      <w:pPr>
        <w:jc w:val="center"/>
        <w:rPr>
          <w:rFonts w:hint="eastAsia"/>
          <w:b/>
          <w:sz w:val="32"/>
          <w:szCs w:val="32"/>
        </w:rPr>
      </w:pPr>
    </w:p>
    <w:p w14:paraId="3F7582C4">
      <w:pPr>
        <w:jc w:val="center"/>
        <w:rPr>
          <w:rFonts w:hint="eastAsia"/>
          <w:b/>
          <w:sz w:val="32"/>
          <w:szCs w:val="32"/>
        </w:rPr>
      </w:pPr>
    </w:p>
    <w:p w14:paraId="5F1C194D">
      <w:pPr>
        <w:jc w:val="center"/>
        <w:rPr>
          <w:rFonts w:hint="eastAsia"/>
          <w:b/>
          <w:sz w:val="32"/>
          <w:szCs w:val="32"/>
        </w:rPr>
      </w:pPr>
    </w:p>
    <w:p w14:paraId="59E476AA">
      <w:pPr>
        <w:jc w:val="center"/>
        <w:rPr>
          <w:rFonts w:hint="eastAsia"/>
          <w:b/>
          <w:sz w:val="32"/>
          <w:szCs w:val="32"/>
        </w:rPr>
      </w:pPr>
    </w:p>
    <w:p w14:paraId="0D79FC27">
      <w:pPr>
        <w:jc w:val="center"/>
        <w:rPr>
          <w:rFonts w:hint="eastAsia"/>
          <w:b/>
          <w:sz w:val="32"/>
          <w:szCs w:val="32"/>
        </w:rPr>
      </w:pPr>
    </w:p>
    <w:p w14:paraId="39249E86">
      <w:pPr>
        <w:jc w:val="center"/>
        <w:rPr>
          <w:rFonts w:hint="eastAsia"/>
          <w:b/>
          <w:sz w:val="32"/>
          <w:szCs w:val="32"/>
        </w:rPr>
      </w:pPr>
    </w:p>
    <w:p w14:paraId="34D13B95">
      <w:pPr>
        <w:jc w:val="center"/>
        <w:rPr>
          <w:rFonts w:hint="eastAsia"/>
          <w:b/>
          <w:sz w:val="32"/>
          <w:szCs w:val="32"/>
        </w:rPr>
      </w:pPr>
    </w:p>
    <w:p w14:paraId="05346AA3">
      <w:pPr>
        <w:jc w:val="center"/>
        <w:rPr>
          <w:rFonts w:hint="eastAsia"/>
          <w:b/>
          <w:sz w:val="32"/>
          <w:szCs w:val="32"/>
        </w:rPr>
      </w:pPr>
    </w:p>
    <w:p w14:paraId="03917E7B">
      <w:pPr>
        <w:jc w:val="center"/>
        <w:rPr>
          <w:rFonts w:hint="eastAsia"/>
          <w:b/>
          <w:sz w:val="32"/>
          <w:szCs w:val="32"/>
          <w:lang w:eastAsia="zh-CN"/>
        </w:rPr>
      </w:pPr>
      <w:r>
        <w:rPr>
          <w:rFonts w:hint="eastAsia"/>
          <w:b/>
          <w:sz w:val="32"/>
          <w:szCs w:val="32"/>
        </w:rPr>
        <w:t>江苏·</w:t>
      </w:r>
      <w:r>
        <w:rPr>
          <w:rFonts w:hint="eastAsia"/>
          <w:b/>
          <w:sz w:val="32"/>
          <w:szCs w:val="32"/>
          <w:lang w:eastAsia="zh-CN"/>
        </w:rPr>
        <w:t>南通</w:t>
      </w:r>
    </w:p>
    <w:p w14:paraId="7032D052">
      <w:pPr>
        <w:jc w:val="center"/>
        <w:rPr>
          <w:rFonts w:hint="eastAsia"/>
        </w:rPr>
      </w:pPr>
      <w:r>
        <w:rPr>
          <w:sz w:val="32"/>
          <w:szCs w:val="32"/>
        </w:rPr>
        <w:t>20</w:t>
      </w:r>
      <w:r>
        <w:rPr>
          <w:rFonts w:hint="eastAsia"/>
          <w:sz w:val="32"/>
          <w:szCs w:val="32"/>
          <w:lang w:val="en-US" w:eastAsia="zh-CN"/>
        </w:rPr>
        <w:t>24</w:t>
      </w:r>
      <w:r>
        <w:rPr>
          <w:sz w:val="32"/>
          <w:szCs w:val="32"/>
        </w:rPr>
        <w:t>年</w:t>
      </w:r>
      <w:r>
        <w:rPr>
          <w:rFonts w:hint="eastAsia"/>
          <w:sz w:val="32"/>
          <w:szCs w:val="32"/>
          <w:lang w:val="en-US" w:eastAsia="zh-CN"/>
        </w:rPr>
        <w:t>9</w:t>
      </w:r>
      <w:r>
        <w:rPr>
          <w:sz w:val="32"/>
          <w:szCs w:val="32"/>
        </w:rPr>
        <w:t>月</w:t>
      </w:r>
    </w:p>
    <w:p w14:paraId="1958400F">
      <w:pPr>
        <w:pageBreakBefore/>
        <w:spacing w:line="440" w:lineRule="exact"/>
        <w:ind w:firstLine="560" w:firstLineChars="200"/>
        <w:rPr>
          <w:rFonts w:hint="eastAsia" w:ascii="黑体" w:hAnsi="宋体" w:eastAsia="黑体"/>
          <w:sz w:val="28"/>
          <w:szCs w:val="28"/>
        </w:rPr>
      </w:pPr>
      <w:r>
        <w:rPr>
          <w:rFonts w:hint="eastAsia" w:ascii="黑体" w:hAnsi="宋体" w:eastAsia="黑体"/>
          <w:sz w:val="28"/>
          <w:szCs w:val="28"/>
        </w:rPr>
        <w:t>本次组装与调试的机电一体化设备为分拣生产线。请你仔细阅读相关说明，理解应完成的工作任务与要求，在</w:t>
      </w:r>
      <w:r>
        <w:rPr>
          <w:rFonts w:hint="eastAsia" w:eastAsia="黑体"/>
          <w:sz w:val="28"/>
          <w:szCs w:val="28"/>
          <w:lang w:val="en-US" w:eastAsia="zh-CN"/>
        </w:rPr>
        <w:t>24</w:t>
      </w:r>
      <w:r>
        <w:rPr>
          <w:rFonts w:eastAsia="黑体"/>
          <w:sz w:val="28"/>
          <w:szCs w:val="28"/>
        </w:rPr>
        <w:t>0</w:t>
      </w:r>
      <w:r>
        <w:rPr>
          <w:rFonts w:hint="eastAsia" w:eastAsia="黑体"/>
          <w:sz w:val="28"/>
          <w:szCs w:val="28"/>
        </w:rPr>
        <w:t xml:space="preserve"> </w:t>
      </w:r>
      <w:r>
        <w:rPr>
          <w:rFonts w:eastAsia="黑体"/>
          <w:sz w:val="28"/>
          <w:szCs w:val="28"/>
        </w:rPr>
        <w:t>min</w:t>
      </w:r>
      <w:r>
        <w:rPr>
          <w:rFonts w:hint="eastAsia" w:ascii="黑体" w:hAnsi="宋体" w:eastAsia="黑体"/>
          <w:sz w:val="28"/>
          <w:szCs w:val="28"/>
        </w:rPr>
        <w:t>内按要求完成指定的工作。</w:t>
      </w:r>
    </w:p>
    <w:p w14:paraId="0D3A7580">
      <w:pPr>
        <w:spacing w:line="440" w:lineRule="exact"/>
        <w:rPr>
          <w:rFonts w:hint="eastAsia" w:ascii="黑体" w:eastAsia="黑体"/>
          <w:i w:val="0"/>
          <w:iCs/>
          <w:color w:val="000000"/>
          <w:sz w:val="44"/>
          <w:shd w:val="pct10" w:color="auto" w:fill="FFFFFF"/>
        </w:rPr>
      </w:pPr>
      <w:r>
        <w:rPr>
          <w:rFonts w:hint="eastAsia" w:ascii="黑体" w:eastAsia="黑体"/>
          <w:i w:val="0"/>
          <w:iCs/>
          <w:color w:val="000000"/>
          <w:sz w:val="32"/>
          <w:szCs w:val="32"/>
          <w:shd w:val="pct10" w:color="auto" w:fill="FFFFFF"/>
        </w:rPr>
        <w:t>工作任务与要求</w:t>
      </w:r>
      <w:r>
        <w:rPr>
          <w:rFonts w:hint="eastAsia" w:ascii="黑体" w:eastAsia="黑体"/>
          <w:i w:val="0"/>
          <w:iCs/>
          <w:color w:val="000000"/>
          <w:sz w:val="44"/>
          <w:shd w:val="pct10" w:color="auto" w:fill="FFFFFF"/>
        </w:rPr>
        <w:t xml:space="preserve"> </w:t>
      </w:r>
    </w:p>
    <w:p w14:paraId="16AE1F4B">
      <w:pPr>
        <w:spacing w:line="360" w:lineRule="auto"/>
        <w:ind w:firstLine="482" w:firstLineChars="200"/>
        <w:rPr>
          <w:rFonts w:hint="eastAsia" w:eastAsia="仿宋_GB2312"/>
          <w:bCs/>
          <w:color w:val="000000"/>
          <w:sz w:val="24"/>
        </w:rPr>
      </w:pPr>
      <w:r>
        <w:rPr>
          <w:rFonts w:hint="eastAsia" w:eastAsia="仿宋_GB2312"/>
          <w:b/>
          <w:color w:val="000000"/>
          <w:sz w:val="24"/>
        </w:rPr>
        <w:t>一、按任务书中图1组装设备。</w:t>
      </w:r>
    </w:p>
    <w:p w14:paraId="65472F4D">
      <w:pPr>
        <w:tabs>
          <w:tab w:val="left" w:pos="2568"/>
        </w:tabs>
        <w:spacing w:line="360" w:lineRule="auto"/>
        <w:ind w:firstLine="482" w:firstLineChars="200"/>
        <w:rPr>
          <w:rFonts w:hint="eastAsia" w:eastAsia="仿宋_GB2312"/>
          <w:color w:val="000000"/>
          <w:sz w:val="24"/>
        </w:rPr>
      </w:pPr>
      <w:r>
        <w:rPr>
          <w:rFonts w:hint="eastAsia" w:eastAsia="仿宋_GB2312"/>
          <w:b/>
          <w:color w:val="000000"/>
          <w:sz w:val="24"/>
        </w:rPr>
        <w:t>二、根据控制要求连接电路。</w:t>
      </w:r>
    </w:p>
    <w:p w14:paraId="60D1C322">
      <w:pPr>
        <w:spacing w:line="360" w:lineRule="auto"/>
        <w:ind w:firstLine="480" w:firstLineChars="200"/>
        <w:rPr>
          <w:rFonts w:eastAsia="仿宋_GB2312"/>
          <w:color w:val="000000"/>
          <w:sz w:val="24"/>
        </w:rPr>
      </w:pPr>
      <w:r>
        <w:rPr>
          <w:rFonts w:hint="eastAsia" w:eastAsia="仿宋_GB2312"/>
          <w:color w:val="000000"/>
          <w:sz w:val="24"/>
        </w:rPr>
        <w:t>1</w:t>
      </w:r>
      <w:r>
        <w:rPr>
          <w:rFonts w:eastAsia="仿宋_GB2312"/>
          <w:color w:val="000000"/>
          <w:sz w:val="24"/>
        </w:rPr>
        <w:t>. 凡是你连接的导线，必须套上写有编号的编号管。</w:t>
      </w:r>
      <w:r>
        <w:rPr>
          <w:rFonts w:hint="eastAsia" w:eastAsia="仿宋_GB2312"/>
          <w:color w:val="000000"/>
          <w:sz w:val="24"/>
        </w:rPr>
        <w:t>交流</w:t>
      </w:r>
      <w:r>
        <w:rPr>
          <w:rFonts w:eastAsia="仿宋_GB2312"/>
          <w:color w:val="000000"/>
          <w:sz w:val="24"/>
        </w:rPr>
        <w:t>电机金属外壳与变频器</w:t>
      </w:r>
      <w:r>
        <w:rPr>
          <w:rFonts w:hint="eastAsia" w:eastAsia="仿宋_GB2312"/>
          <w:color w:val="000000"/>
          <w:sz w:val="24"/>
        </w:rPr>
        <w:t>的</w:t>
      </w:r>
      <w:r>
        <w:rPr>
          <w:rFonts w:eastAsia="仿宋_GB2312"/>
          <w:color w:val="000000"/>
          <w:sz w:val="24"/>
        </w:rPr>
        <w:t>接地极必须可靠接地。</w:t>
      </w:r>
    </w:p>
    <w:p w14:paraId="58356BC6">
      <w:pPr>
        <w:spacing w:line="360" w:lineRule="auto"/>
        <w:ind w:firstLine="480" w:firstLineChars="200"/>
        <w:rPr>
          <w:rFonts w:hint="eastAsia" w:eastAsia="仿宋_GB2312"/>
          <w:color w:val="000000"/>
          <w:sz w:val="24"/>
        </w:rPr>
      </w:pPr>
      <w:r>
        <w:rPr>
          <w:rFonts w:hint="eastAsia" w:eastAsia="仿宋_GB2312"/>
          <w:color w:val="000000"/>
          <w:sz w:val="24"/>
        </w:rPr>
        <w:t>2</w:t>
      </w:r>
      <w:r>
        <w:rPr>
          <w:rFonts w:eastAsia="仿宋_GB2312"/>
          <w:color w:val="000000"/>
          <w:sz w:val="24"/>
        </w:rPr>
        <w:t>. 工作台上各传感器、电磁阀控制线圈、</w:t>
      </w:r>
      <w:r>
        <w:rPr>
          <w:rFonts w:hint="eastAsia" w:eastAsia="仿宋_GB2312"/>
          <w:color w:val="000000"/>
          <w:sz w:val="24"/>
        </w:rPr>
        <w:t>送料</w:t>
      </w:r>
      <w:r>
        <w:rPr>
          <w:rFonts w:eastAsia="仿宋_GB2312"/>
          <w:color w:val="000000"/>
          <w:sz w:val="24"/>
        </w:rPr>
        <w:t>直流电机、警示灯的连接线，必须放入线槽内；为减小对控制信号的干扰，工作台上交流电机的连接线不能放入线槽。</w:t>
      </w:r>
    </w:p>
    <w:p w14:paraId="1227412B">
      <w:pPr>
        <w:spacing w:line="360" w:lineRule="auto"/>
        <w:ind w:firstLine="482" w:firstLineChars="200"/>
        <w:rPr>
          <w:rFonts w:hint="eastAsia" w:eastAsia="仿宋_GB2312"/>
          <w:b/>
          <w:color w:val="000000"/>
          <w:sz w:val="24"/>
        </w:rPr>
      </w:pPr>
      <w:r>
        <w:rPr>
          <w:rFonts w:hint="eastAsia" w:eastAsia="仿宋_GB2312"/>
          <w:b/>
          <w:color w:val="000000"/>
          <w:sz w:val="24"/>
        </w:rPr>
        <w:t>三、</w:t>
      </w:r>
      <w:r>
        <w:rPr>
          <w:rFonts w:eastAsia="仿宋_GB2312"/>
          <w:b/>
          <w:color w:val="000000"/>
          <w:sz w:val="24"/>
        </w:rPr>
        <w:t>按</w:t>
      </w:r>
      <w:r>
        <w:rPr>
          <w:rFonts w:hint="eastAsia" w:eastAsia="仿宋_GB2312"/>
          <w:b/>
          <w:color w:val="000000"/>
          <w:sz w:val="24"/>
        </w:rPr>
        <w:t>设备装置气动系统图（附页</w:t>
      </w:r>
      <w:r>
        <w:rPr>
          <w:rFonts w:eastAsia="仿宋_GB2312"/>
          <w:b/>
          <w:color w:val="000000"/>
          <w:sz w:val="24"/>
        </w:rPr>
        <w:t>图号0</w:t>
      </w:r>
      <w:r>
        <w:rPr>
          <w:rFonts w:hint="eastAsia" w:eastAsia="仿宋_GB2312"/>
          <w:b/>
          <w:color w:val="000000"/>
          <w:sz w:val="24"/>
        </w:rPr>
        <w:t>3）</w:t>
      </w:r>
      <w:r>
        <w:rPr>
          <w:rFonts w:eastAsia="仿宋_GB2312"/>
          <w:b/>
          <w:color w:val="000000"/>
          <w:sz w:val="24"/>
        </w:rPr>
        <w:t>连接</w:t>
      </w:r>
      <w:r>
        <w:rPr>
          <w:rFonts w:hint="eastAsia" w:eastAsia="仿宋_GB2312"/>
          <w:b/>
          <w:color w:val="000000"/>
          <w:sz w:val="24"/>
        </w:rPr>
        <w:t>生产线设备</w:t>
      </w:r>
      <w:r>
        <w:rPr>
          <w:rFonts w:eastAsia="仿宋_GB2312"/>
          <w:b/>
          <w:color w:val="000000"/>
          <w:sz w:val="24"/>
        </w:rPr>
        <w:t>气路</w:t>
      </w:r>
      <w:r>
        <w:rPr>
          <w:rFonts w:hint="eastAsia" w:eastAsia="仿宋_GB2312"/>
          <w:b/>
          <w:color w:val="000000"/>
          <w:sz w:val="24"/>
        </w:rPr>
        <w:t>，并满足图纸提出的技术要求</w:t>
      </w:r>
      <w:r>
        <w:rPr>
          <w:rFonts w:eastAsia="仿宋_GB2312"/>
          <w:b/>
          <w:color w:val="000000"/>
          <w:sz w:val="24"/>
        </w:rPr>
        <w:t>。</w:t>
      </w:r>
    </w:p>
    <w:p w14:paraId="31DDDD44">
      <w:pPr>
        <w:spacing w:line="360" w:lineRule="auto"/>
        <w:ind w:firstLine="482" w:firstLineChars="200"/>
        <w:rPr>
          <w:rFonts w:hint="eastAsia" w:eastAsia="仿宋_GB2312"/>
          <w:b/>
          <w:color w:val="000000"/>
          <w:sz w:val="24"/>
        </w:rPr>
      </w:pPr>
      <w:r>
        <w:rPr>
          <w:rFonts w:hint="eastAsia" w:eastAsia="仿宋_GB2312"/>
          <w:b/>
          <w:color w:val="000000"/>
          <w:sz w:val="24"/>
        </w:rPr>
        <w:t>四、请正确理解设备的调试、设备组装要求和故障状态处理等，编写设备的PLC控制程序和设置变频器的参数，根据题意完成人机界面的相关工作要求</w:t>
      </w:r>
    </w:p>
    <w:p w14:paraId="36127B7E">
      <w:pPr>
        <w:spacing w:line="360" w:lineRule="auto"/>
        <w:ind w:firstLine="540"/>
        <w:rPr>
          <w:rFonts w:hint="eastAsia" w:eastAsia="仿宋_GB2312"/>
          <w:color w:val="000000"/>
          <w:sz w:val="24"/>
        </w:rPr>
      </w:pPr>
      <w:r>
        <w:rPr>
          <w:rFonts w:hint="eastAsia" w:ascii="宋体" w:hAnsi="宋体"/>
          <w:b/>
          <w:color w:val="000000"/>
          <w:sz w:val="24"/>
        </w:rPr>
        <w:t>注意：</w:t>
      </w:r>
      <w:r>
        <w:rPr>
          <w:rFonts w:hint="eastAsia" w:eastAsia="仿宋_GB2312"/>
          <w:color w:val="000000"/>
          <w:sz w:val="24"/>
        </w:rPr>
        <w:t>在使用计算机编写程序时，请你在D盘或E盘随时保存已编好的程序，保存的文件名为工位号+A（如3号工位文件名为“3A”）。</w:t>
      </w:r>
    </w:p>
    <w:p w14:paraId="2B816B1A">
      <w:pPr>
        <w:numPr>
          <w:ilvl w:val="0"/>
          <w:numId w:val="3"/>
        </w:numPr>
        <w:spacing w:line="360" w:lineRule="auto"/>
        <w:ind w:firstLine="540"/>
        <w:rPr>
          <w:rFonts w:hint="eastAsia" w:eastAsia="仿宋_GB2312"/>
          <w:b/>
          <w:color w:val="000000"/>
          <w:sz w:val="24"/>
        </w:rPr>
      </w:pPr>
      <w:r>
        <w:rPr>
          <w:rFonts w:hint="eastAsia" w:eastAsia="仿宋_GB2312"/>
          <w:b/>
          <w:color w:val="000000"/>
          <w:sz w:val="24"/>
        </w:rPr>
        <w:t>请你调整传感器的位置和灵敏度，调整机械部件的位置，完成生产线设备的整体调试，使生产线设备能按照要求完成任务。</w:t>
      </w:r>
    </w:p>
    <w:p w14:paraId="35AFC359">
      <w:pPr>
        <w:pageBreakBefore/>
        <w:spacing w:line="360" w:lineRule="auto"/>
        <w:rPr>
          <w:rFonts w:hint="eastAsia" w:eastAsia="仿宋_GB2312"/>
          <w:sz w:val="24"/>
        </w:rPr>
      </w:pPr>
      <w:r>
        <w:rPr>
          <w:rFonts w:hint="eastAsia" w:eastAsia="仿宋_GB2312"/>
          <w:b/>
          <w:i/>
          <w:sz w:val="44"/>
          <w:szCs w:val="44"/>
          <w:shd w:val="pct10" w:color="auto" w:fill="FFFFFF"/>
        </w:rPr>
        <w:t>分拣生产线说明</w:t>
      </w:r>
    </w:p>
    <w:p w14:paraId="5E7F5212">
      <w:pPr>
        <w:spacing w:line="360" w:lineRule="auto"/>
        <w:ind w:firstLine="420" w:firstLineChars="200"/>
        <w:rPr>
          <w:rFonts w:hint="eastAsia" w:eastAsia="仿宋_GB2312"/>
          <w:sz w:val="24"/>
        </w:rPr>
      </w:pPr>
      <w:r>
        <w:rPr>
          <w:rFonts w:hint="eastAsia" w:ascii="宋体" w:hAnsi="宋体"/>
          <w:lang w:val="zh-CN"/>
        </w:rPr>
        <w:t>分拣生产线</w:t>
      </w:r>
      <w:r>
        <w:rPr>
          <w:rFonts w:hint="eastAsia" w:ascii="宋体" w:hAnsi="宋体"/>
        </w:rPr>
        <w:t>是</w:t>
      </w:r>
      <w:r>
        <w:rPr>
          <w:rFonts w:hint="eastAsia" w:ascii="宋体" w:hAnsi="宋体"/>
          <w:lang w:val="zh-CN"/>
        </w:rPr>
        <w:t>对金属件、白</w:t>
      </w:r>
      <w:r>
        <w:rPr>
          <w:rFonts w:hint="eastAsia" w:ascii="宋体" w:hAnsi="宋体"/>
        </w:rPr>
        <w:t>色</w:t>
      </w:r>
      <w:r>
        <w:rPr>
          <w:rFonts w:hint="eastAsia" w:ascii="宋体" w:hAnsi="宋体"/>
          <w:lang w:val="zh-CN"/>
        </w:rPr>
        <w:t>塑料件和黑色塑料件</w:t>
      </w:r>
      <w:r>
        <w:rPr>
          <w:rFonts w:hint="eastAsia" w:ascii="宋体" w:hAnsi="宋体"/>
        </w:rPr>
        <w:t>三</w:t>
      </w:r>
      <w:r>
        <w:rPr>
          <w:rFonts w:hint="eastAsia" w:ascii="宋体" w:hAnsi="宋体"/>
          <w:lang w:val="zh-CN"/>
        </w:rPr>
        <w:t>种工件进行加工分拣的机电一体化设备。设备组成及各部件名称如图</w:t>
      </w:r>
      <w:r>
        <w:rPr>
          <w:rFonts w:hint="eastAsia" w:ascii="宋体" w:hAnsi="宋体"/>
        </w:rPr>
        <w:t>1所示。</w:t>
      </w:r>
    </w:p>
    <w:p w14:paraId="457A57F4">
      <w:pPr>
        <w:spacing w:line="360" w:lineRule="auto"/>
        <w:ind w:firstLine="422" w:firstLineChars="200"/>
        <w:jc w:val="center"/>
        <w:rPr>
          <w:rFonts w:hint="eastAsia" w:ascii="楷体_GB2312" w:hAnsi="宋体" w:eastAsia="楷体_GB2312"/>
          <w:b/>
        </w:rPr>
      </w:pPr>
      <w:r>
        <w:rPr>
          <w:rFonts w:hint="eastAsia" w:ascii="楷体_GB2312" w:hAnsi="宋体" w:eastAsia="楷体_GB2312"/>
          <w:b/>
        </w:rPr>
        <mc:AlternateContent>
          <mc:Choice Requires="wps">
            <w:drawing>
              <wp:anchor distT="0" distB="0" distL="114300" distR="114300" simplePos="0" relativeHeight="251662336" behindDoc="0" locked="0" layoutInCell="1" allowOverlap="1">
                <wp:simplePos x="0" y="0"/>
                <wp:positionH relativeFrom="column">
                  <wp:posOffset>4761865</wp:posOffset>
                </wp:positionH>
                <wp:positionV relativeFrom="paragraph">
                  <wp:posOffset>-3203575</wp:posOffset>
                </wp:positionV>
                <wp:extent cx="1392555" cy="3810"/>
                <wp:effectExtent l="49530" t="0" r="53340" b="9525"/>
                <wp:wrapNone/>
                <wp:docPr id="5" name="肘形连接符 5"/>
                <wp:cNvGraphicFramePr/>
                <a:graphic xmlns:a="http://schemas.openxmlformats.org/drawingml/2006/main">
                  <a:graphicData uri="http://schemas.microsoft.com/office/word/2010/wordprocessingShape">
                    <wps:wsp>
                      <wps:cNvCnPr/>
                      <wps:spPr>
                        <a:xfrm rot="-5400000" flipV="1">
                          <a:off x="0" y="0"/>
                          <a:ext cx="1392555" cy="3810"/>
                        </a:xfrm>
                        <a:prstGeom prst="bentConnector3">
                          <a:avLst>
                            <a:gd name="adj1" fmla="val 50000"/>
                          </a:avLst>
                        </a:prstGeom>
                        <a:ln w="9525" cap="flat" cmpd="sng">
                          <a:solidFill>
                            <a:srgbClr val="000000"/>
                          </a:solidFill>
                          <a:prstDash val="solid"/>
                          <a:miter/>
                          <a:headEnd type="arrow" w="med" len="med"/>
                          <a:tailEnd type="arrow" w="med" len="med"/>
                        </a:ln>
                      </wps:spPr>
                      <wps:bodyPr/>
                    </wps:wsp>
                  </a:graphicData>
                </a:graphic>
              </wp:anchor>
            </w:drawing>
          </mc:Choice>
          <mc:Fallback>
            <w:pict>
              <v:shape id="_x0000_s1026" o:spid="_x0000_s1026" o:spt="34" type="#_x0000_t34" style="position:absolute;left:0pt;flip:y;margin-left:374.95pt;margin-top:-252.25pt;height:0.3pt;width:109.65pt;rotation:5898240f;z-index:251662336;mso-width-relative:page;mso-height-relative:page;" filled="f" stroked="t" coordsize="21600,21600" o:gfxdata="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kI78toAAAANAQAADwAAAAAAAAABACAAAAAiAAAAZHJzL2Rvd25yZXYueG1sUEsBAhQAFAAA&#10;AAgAh07iQEZs6ismAgAANwQAAA4AAAAAAAAAAQAgAAAAKQEAAGRycy9lMm9Eb2MueG1sUEsFBgAA&#10;AAAGAAYAWQEAAMEFAAAAAA==&#10;" adj="10800">
                <v:fill on="f" focussize="0,0"/>
                <v:stroke color="#000000" joinstyle="miter" startarrow="open" endarrow="open"/>
                <v:imagedata o:title=""/>
                <o:lock v:ext="edit" aspectratio="f"/>
              </v:shape>
            </w:pict>
          </mc:Fallback>
        </mc:AlternateContent>
      </w:r>
      <w:r>
        <w:rPr>
          <w:rFonts w:hint="eastAsia" w:ascii="楷体_GB2312" w:hAnsi="宋体" w:eastAsia="楷体_GB2312"/>
          <w:b/>
        </w:rPr>
        <w:pict>
          <v:shape id="_x0000_s1026" o:spid="_x0000_s1026" o:spt="75" type="#_x0000_t75" style="position:absolute;left:0pt;margin-left:-1.8pt;margin-top:5.7pt;height:297.45pt;width:450pt;mso-wrap-distance-left:9pt;mso-wrap-distance-right:9pt;z-index:251659264;mso-width-relative:page;mso-height-relative:page;" o:ole="t" filled="f" o:preferrelative="t" stroked="f" coordsize="21600,21600" wrapcoords="21592 -2 0 0 0 21599 21592 21601 8 21601 21600 21599 21600 0 8 -2 21592 -2">
            <v:path/>
            <v:fill on="f" alignshape="1" focussize="0,0"/>
            <v:stroke on="f"/>
            <v:imagedata r:id="rId8" cropleft="8546f" croptop="6471f" cropright="18603f" cropbottom="14549f" grayscale="t" o:title=""/>
            <o:lock v:ext="edit" aspectratio="t"/>
            <w10:wrap type="tight"/>
          </v:shape>
          <o:OLEObject Type="Embed" ProgID="" ShapeID="_x0000_s1026" DrawAspect="Content" ObjectID="_1468075725" r:id="rId7">
            <o:LockedField>false</o:LockedField>
          </o:OLEObject>
        </w:pict>
      </w:r>
      <w:r>
        <w:rPr>
          <w:rFonts w:hint="eastAsia" w:ascii="楷体_GB2312" w:hAnsi="宋体" w:eastAsia="楷体_GB2312"/>
          <w:b/>
        </w:rPr>
        <mc:AlternateContent>
          <mc:Choice Requires="wps">
            <w:drawing>
              <wp:anchor distT="0" distB="0" distL="114300" distR="114300" simplePos="0" relativeHeight="251665408" behindDoc="0" locked="0" layoutInCell="1" allowOverlap="1">
                <wp:simplePos x="0" y="0"/>
                <wp:positionH relativeFrom="column">
                  <wp:posOffset>5569585</wp:posOffset>
                </wp:positionH>
                <wp:positionV relativeFrom="paragraph">
                  <wp:posOffset>-2639060</wp:posOffset>
                </wp:positionV>
                <wp:extent cx="316865" cy="259715"/>
                <wp:effectExtent l="0" t="0" r="0" b="0"/>
                <wp:wrapNone/>
                <wp:docPr id="6" name="文本框 6"/>
                <wp:cNvGraphicFramePr/>
                <a:graphic xmlns:a="http://schemas.openxmlformats.org/drawingml/2006/main">
                  <a:graphicData uri="http://schemas.microsoft.com/office/word/2010/wordprocessingShape">
                    <wps:wsp>
                      <wps:cNvSpPr txBox="1"/>
                      <wps:spPr>
                        <a:xfrm>
                          <a:off x="0" y="0"/>
                          <a:ext cx="316865" cy="259715"/>
                        </a:xfrm>
                        <a:prstGeom prst="rect">
                          <a:avLst/>
                        </a:prstGeom>
                        <a:noFill/>
                        <a:ln>
                          <a:noFill/>
                        </a:ln>
                      </wps:spPr>
                      <wps:txbx>
                        <w:txbxContent>
                          <w:p w14:paraId="3F16DDF7">
                            <w:pPr>
                              <w:rPr>
                                <w:rFonts w:hint="eastAsia"/>
                              </w:rPr>
                            </w:pPr>
                            <w:r>
                              <w:rPr>
                                <w:rFonts w:hint="eastAsia"/>
                              </w:rPr>
                              <w:t>60</w:t>
                            </w:r>
                          </w:p>
                        </w:txbxContent>
                      </wps:txbx>
                      <wps:bodyPr upright="1"/>
                    </wps:wsp>
                  </a:graphicData>
                </a:graphic>
              </wp:anchor>
            </w:drawing>
          </mc:Choice>
          <mc:Fallback>
            <w:pict>
              <v:shape id="_x0000_s1026" o:spid="_x0000_s1026" o:spt="202" type="#_x0000_t202" style="position:absolute;left:0pt;margin-left:438.55pt;margin-top:-207.8pt;height:20.45pt;width:24.95pt;z-index:251665408;mso-width-relative:page;mso-height-relative:page;" filled="f" stroked="f" coordsize="21600,21600" o:gfxdata="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Bt/&#10;X9sAAAANAQAADwAAAAAAAAABACAAAAAiAAAAZHJzL2Rvd25yZXYueG1sUEsBAhQAFAAAAAgAh07i&#10;QL9AnsGtAQAATQMAAA4AAAAAAAAAAQAgAAAAKgEAAGRycy9lMm9Eb2MueG1sUEsFBgAAAAAGAAYA&#10;WQEAAEkFAAAAAA==&#10;">
                <v:fill on="f" focussize="0,0"/>
                <v:stroke on="f"/>
                <v:imagedata o:title=""/>
                <o:lock v:ext="edit" aspectratio="f"/>
                <v:textbox>
                  <w:txbxContent>
                    <w:p w14:paraId="3F16DDF7">
                      <w:pPr>
                        <w:rPr>
                          <w:rFonts w:hint="eastAsia"/>
                        </w:rPr>
                      </w:pPr>
                      <w:r>
                        <w:rPr>
                          <w:rFonts w:hint="eastAsia"/>
                        </w:rPr>
                        <w:t>60</w:t>
                      </w:r>
                    </w:p>
                  </w:txbxContent>
                </v:textbox>
              </v:shape>
            </w:pict>
          </mc:Fallback>
        </mc:AlternateContent>
      </w:r>
      <w:r>
        <w:rPr>
          <w:rFonts w:hint="eastAsia" w:ascii="楷体_GB2312" w:hAnsi="宋体" w:eastAsia="楷体_GB2312"/>
          <w:b/>
        </w:rPr>
        <mc:AlternateContent>
          <mc:Choice Requires="wps">
            <w:drawing>
              <wp:anchor distT="0" distB="0" distL="114300" distR="114300" simplePos="0" relativeHeight="251666432" behindDoc="0" locked="0" layoutInCell="1" allowOverlap="1">
                <wp:simplePos x="0" y="0"/>
                <wp:positionH relativeFrom="column">
                  <wp:posOffset>5588635</wp:posOffset>
                </wp:positionH>
                <wp:positionV relativeFrom="paragraph">
                  <wp:posOffset>-2427605</wp:posOffset>
                </wp:positionV>
                <wp:extent cx="273050" cy="3175"/>
                <wp:effectExtent l="0" t="0" r="0" b="0"/>
                <wp:wrapNone/>
                <wp:docPr id="9" name="肘形连接符 9"/>
                <wp:cNvGraphicFramePr/>
                <a:graphic xmlns:a="http://schemas.openxmlformats.org/drawingml/2006/main">
                  <a:graphicData uri="http://schemas.microsoft.com/office/word/2010/wordprocessingShape">
                    <wps:wsp>
                      <wps:cNvCnPr/>
                      <wps:spPr>
                        <a:xfrm>
                          <a:off x="0" y="0"/>
                          <a:ext cx="273050" cy="3175"/>
                        </a:xfrm>
                        <a:prstGeom prst="bentConnector2">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3" type="#_x0000_t33" style="position:absolute;left:0pt;margin-left:440.05pt;margin-top:-191.15pt;height:0.25pt;width:21.5pt;z-index:251666432;mso-width-relative:page;mso-height-relative:page;" filled="f" stroked="t" coordsize="21600,21600" o:gfxdata="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Dak1rZAAAADQEAAA8AAAAAAAAAAQAgAAAAIgAAAGRycy9kb3du&#10;cmV2LnhtbFBLAQIUABQAAAAIAIdO4kCnU2SD/gEAAO4DAAAOAAAAAAAAAAEAIAAAACgBAABkcnMv&#10;ZTJvRG9jLnhtbFBLBQYAAAAABgAGAFkBAACYBQAAAAA=&#10;">
                <v:fill on="f" focussize="0,0"/>
                <v:stroke color="#000000" joinstyle="miter"/>
                <v:imagedata o:title=""/>
                <o:lock v:ext="edit" aspectratio="f"/>
              </v:shape>
            </w:pict>
          </mc:Fallback>
        </mc:AlternateContent>
      </w:r>
      <w:r>
        <w:rPr>
          <w:rFonts w:hint="eastAsia" w:ascii="楷体_GB2312" w:hAnsi="宋体" w:eastAsia="楷体_GB2312"/>
          <w:b/>
        </w:rPr>
        <mc:AlternateContent>
          <mc:Choice Requires="wps">
            <w:drawing>
              <wp:anchor distT="0" distB="0" distL="114300" distR="114300" simplePos="0" relativeHeight="251663360" behindDoc="0" locked="0" layoutInCell="1" allowOverlap="1">
                <wp:simplePos x="0" y="0"/>
                <wp:positionH relativeFrom="column">
                  <wp:posOffset>5696585</wp:posOffset>
                </wp:positionH>
                <wp:positionV relativeFrom="paragraph">
                  <wp:posOffset>-3413760</wp:posOffset>
                </wp:positionV>
                <wp:extent cx="425450" cy="259715"/>
                <wp:effectExtent l="0" t="0" r="0" b="0"/>
                <wp:wrapNone/>
                <wp:docPr id="2" name="文本框 2"/>
                <wp:cNvGraphicFramePr/>
                <a:graphic xmlns:a="http://schemas.openxmlformats.org/drawingml/2006/main">
                  <a:graphicData uri="http://schemas.microsoft.com/office/word/2010/wordprocessingShape">
                    <wps:wsp>
                      <wps:cNvSpPr txBox="1"/>
                      <wps:spPr>
                        <a:xfrm>
                          <a:off x="0" y="0"/>
                          <a:ext cx="425450" cy="259715"/>
                        </a:xfrm>
                        <a:prstGeom prst="rect">
                          <a:avLst/>
                        </a:prstGeom>
                        <a:noFill/>
                        <a:ln>
                          <a:noFill/>
                        </a:ln>
                      </wps:spPr>
                      <wps:txbx>
                        <w:txbxContent>
                          <w:p w14:paraId="4D6582B0">
                            <w:pPr>
                              <w:rPr>
                                <w:rFonts w:hint="eastAsia"/>
                              </w:rPr>
                            </w:pPr>
                            <w:r>
                              <w:rPr>
                                <w:rFonts w:hint="eastAsia"/>
                              </w:rPr>
                              <w:t>300</w:t>
                            </w:r>
                          </w:p>
                        </w:txbxContent>
                      </wps:txbx>
                      <wps:bodyPr upright="1"/>
                    </wps:wsp>
                  </a:graphicData>
                </a:graphic>
              </wp:anchor>
            </w:drawing>
          </mc:Choice>
          <mc:Fallback>
            <w:pict>
              <v:shape id="_x0000_s1026" o:spid="_x0000_s1026" o:spt="202" type="#_x0000_t202" style="position:absolute;left:0pt;margin-left:448.55pt;margin-top:-268.8pt;height:20.45pt;width:33.5pt;z-index:251663360;mso-width-relative:page;mso-height-relative:page;" filled="f" stroked="f" coordsize="21600,21600" o:gfxdata="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IniZva&#10;AAAADQEAAA8AAAAAAAAAAQAgAAAAIgAAAGRycy9kb3ducmV2LnhtbFBLAQIUABQAAAAIAIdO4kBa&#10;LK61rAEAAE0DAAAOAAAAAAAAAAEAIAAAACkBAABkcnMvZTJvRG9jLnhtbFBLBQYAAAAABgAGAFkB&#10;AABHBQAAAAA=&#10;">
                <v:fill on="f" focussize="0,0"/>
                <v:stroke on="f"/>
                <v:imagedata o:title=""/>
                <o:lock v:ext="edit" aspectratio="f"/>
                <v:textbox>
                  <w:txbxContent>
                    <w:p w14:paraId="4D6582B0">
                      <w:pPr>
                        <w:rPr>
                          <w:rFonts w:hint="eastAsia"/>
                        </w:rPr>
                      </w:pPr>
                      <w:r>
                        <w:rPr>
                          <w:rFonts w:hint="eastAsia"/>
                        </w:rPr>
                        <w:t>300</w:t>
                      </w:r>
                    </w:p>
                  </w:txbxContent>
                </v:textbox>
              </v:shape>
            </w:pict>
          </mc:Fallback>
        </mc:AlternateContent>
      </w:r>
      <w:r>
        <w:rPr>
          <w:rFonts w:hint="eastAsia" w:ascii="楷体_GB2312" w:hAnsi="宋体" w:eastAsia="楷体_GB2312"/>
          <w:b/>
        </w:rPr>
        <mc:AlternateContent>
          <mc:Choice Requires="wps">
            <w:drawing>
              <wp:anchor distT="0" distB="0" distL="114300" distR="114300" simplePos="0" relativeHeight="251664384" behindDoc="0" locked="0" layoutInCell="1" allowOverlap="1">
                <wp:simplePos x="0" y="0"/>
                <wp:positionH relativeFrom="column">
                  <wp:posOffset>5467985</wp:posOffset>
                </wp:positionH>
                <wp:positionV relativeFrom="paragraph">
                  <wp:posOffset>-3191510</wp:posOffset>
                </wp:positionV>
                <wp:extent cx="539750" cy="184150"/>
                <wp:effectExtent l="0" t="4445" r="8890" b="9525"/>
                <wp:wrapNone/>
                <wp:docPr id="7" name="肘形连接符 7"/>
                <wp:cNvGraphicFramePr/>
                <a:graphic xmlns:a="http://schemas.openxmlformats.org/drawingml/2006/main">
                  <a:graphicData uri="http://schemas.microsoft.com/office/word/2010/wordprocessingShape">
                    <wps:wsp>
                      <wps:cNvCnPr/>
                      <wps:spPr>
                        <a:xfrm flipV="1">
                          <a:off x="0" y="0"/>
                          <a:ext cx="539750" cy="184150"/>
                        </a:xfrm>
                        <a:prstGeom prst="bentConnector3">
                          <a:avLst>
                            <a:gd name="adj1" fmla="val 50116"/>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flip:y;margin-left:430.55pt;margin-top:-251.3pt;height:14.5pt;width:42.5pt;z-index:251664384;mso-width-relative:page;mso-height-relative:page;" filled="f" stroked="t" coordsize="21600,21600" o:gfxdata="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KySa3gAAAA0BAAAPAAAAAAAAAAEAIAAAACIAAABkcnMvZG93bnJldi54bWxQSwECFAAUAAAACACH&#10;TuJAhN2GjB4CAAAnBAAADgAAAAAAAAABACAAAAAtAQAAZHJzL2Uyb0RvYy54bWxQSwUGAAAAAAYA&#10;BgBZAQAAvQUAAAAA&#10;" adj="10825">
                <v:fill on="f" focussize="0,0"/>
                <v:stroke color="#000000" joinstyle="miter"/>
                <v:imagedata o:title=""/>
                <o:lock v:ext="edit" aspectratio="f"/>
              </v:shape>
            </w:pict>
          </mc:Fallback>
        </mc:AlternateContent>
      </w:r>
      <w:r>
        <w:rPr>
          <w:rFonts w:hint="eastAsia" w:ascii="楷体_GB2312" w:hAnsi="宋体" w:eastAsia="楷体_GB2312"/>
          <w:b/>
        </w:rPr>
        <mc:AlternateContent>
          <mc:Choice Requires="wps">
            <w:drawing>
              <wp:anchor distT="0" distB="0" distL="114300" distR="114300" simplePos="0" relativeHeight="251660288" behindDoc="0" locked="0" layoutInCell="1" allowOverlap="1">
                <wp:simplePos x="0" y="0"/>
                <wp:positionH relativeFrom="column">
                  <wp:posOffset>5330190</wp:posOffset>
                </wp:positionH>
                <wp:positionV relativeFrom="paragraph">
                  <wp:posOffset>-2422525</wp:posOffset>
                </wp:positionV>
                <wp:extent cx="288290" cy="635"/>
                <wp:effectExtent l="0" t="54610" r="1270" b="51435"/>
                <wp:wrapNone/>
                <wp:docPr id="4" name="肘形连接符 4"/>
                <wp:cNvGraphicFramePr/>
                <a:graphic xmlns:a="http://schemas.openxmlformats.org/drawingml/2006/main">
                  <a:graphicData uri="http://schemas.microsoft.com/office/word/2010/wordprocessingShape">
                    <wps:wsp>
                      <wps:cNvCnPr/>
                      <wps:spPr>
                        <a:xfrm>
                          <a:off x="0" y="0"/>
                          <a:ext cx="288290" cy="635"/>
                        </a:xfrm>
                        <a:prstGeom prst="bentConnector2">
                          <a:avLst/>
                        </a:prstGeom>
                        <a:ln w="12700" cap="flat" cmpd="sng">
                          <a:solidFill>
                            <a:srgbClr val="000000"/>
                          </a:solidFill>
                          <a:prstDash val="solid"/>
                          <a:miter/>
                          <a:headEnd type="arrow" w="med" len="med"/>
                          <a:tailEnd type="arrow" w="med" len="med"/>
                        </a:ln>
                      </wps:spPr>
                      <wps:bodyPr/>
                    </wps:wsp>
                  </a:graphicData>
                </a:graphic>
              </wp:anchor>
            </w:drawing>
          </mc:Choice>
          <mc:Fallback>
            <w:pict>
              <v:shape id="_x0000_s1026" o:spid="_x0000_s1026" o:spt="33" type="#_x0000_t33" style="position:absolute;left:0pt;margin-left:419.7pt;margin-top:-190.75pt;height:0.05pt;width:22.7pt;z-index:251660288;mso-width-relative:page;mso-height-relative:page;" filled="f" stroked="t" coordsize="21600,21600" o:gfxdata="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WdH7rZAAAADQEAAA8AAAAAAAAAAQAgAAAAIgAAAGRycy9kb3du&#10;cmV2LnhtbFBLAQIUABQAAAAIAIdO4kCI9Kpj/gEAAPADAAAOAAAAAAAAAAEAIAAAACgBAABkcnMv&#10;ZTJvRG9jLnhtbFBLBQYAAAAABgAGAFkBAACYBQAAAAA=&#10;">
                <v:fill on="f" focussize="0,0"/>
                <v:stroke weight="1pt" color="#000000" joinstyle="miter" startarrow="open" endarrow="open"/>
                <v:imagedata o:title=""/>
                <o:lock v:ext="edit" aspectratio="f"/>
              </v:shape>
            </w:pict>
          </mc:Fallback>
        </mc:AlternateContent>
      </w:r>
      <w:r>
        <w:rPr>
          <w:rFonts w:hint="eastAsia" w:ascii="楷体_GB2312" w:hAnsi="宋体" w:eastAsia="楷体_GB2312"/>
          <w:b/>
        </w:rPr>
        <mc:AlternateContent>
          <mc:Choice Requires="wps">
            <w:drawing>
              <wp:anchor distT="0" distB="0" distL="114300" distR="114300" simplePos="0" relativeHeight="251661312" behindDoc="0" locked="0" layoutInCell="1" allowOverlap="1">
                <wp:simplePos x="0" y="0"/>
                <wp:positionH relativeFrom="column">
                  <wp:posOffset>5104765</wp:posOffset>
                </wp:positionH>
                <wp:positionV relativeFrom="paragraph">
                  <wp:posOffset>-2503170</wp:posOffset>
                </wp:positionV>
                <wp:extent cx="533400" cy="3175"/>
                <wp:effectExtent l="0" t="0" r="0" b="0"/>
                <wp:wrapNone/>
                <wp:docPr id="8" name="肘形连接符 8"/>
                <wp:cNvGraphicFramePr/>
                <a:graphic xmlns:a="http://schemas.openxmlformats.org/drawingml/2006/main">
                  <a:graphicData uri="http://schemas.microsoft.com/office/word/2010/wordprocessingShape">
                    <wps:wsp>
                      <wps:cNvCnPr/>
                      <wps:spPr>
                        <a:xfrm>
                          <a:off x="0" y="0"/>
                          <a:ext cx="533400" cy="3175"/>
                        </a:xfrm>
                        <a:prstGeom prst="bentConnector2">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3" type="#_x0000_t33" style="position:absolute;left:0pt;margin-left:401.95pt;margin-top:-197.1pt;height:0.25pt;width:42pt;z-index:251661312;mso-width-relative:page;mso-height-relative:page;" filled="f" stroked="t" coordsize="21600,21600" o:gfxdata="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H/y9Q2gAAAA0BAAAPAAAAAAAAAAEAIAAAACIAAABkcnMvZG93&#10;bnJldi54bWxQSwECFAAUAAAACACHTuJA/5SjfP4BAADuAwAADgAAAAAAAAABACAAAAApAQAAZHJz&#10;L2Uyb0RvYy54bWxQSwUGAAAAAAYABgBZAQAAmQUAAAAA&#10;">
                <v:fill on="f" focussize="0,0"/>
                <v:stroke color="#000000" joinstyle="miter"/>
                <v:imagedata o:title=""/>
                <o:lock v:ext="edit" aspectratio="f"/>
              </v:shape>
            </w:pict>
          </mc:Fallback>
        </mc:AlternateContent>
      </w:r>
      <w:r>
        <w:rPr>
          <w:rFonts w:hint="eastAsia" w:ascii="楷体_GB2312" w:hAnsi="宋体" w:eastAsia="楷体_GB2312"/>
          <w:b/>
        </w:rPr>
        <w:t>图1 分拣生产线部件组装图与各部件的名称</w:t>
      </w:r>
    </w:p>
    <w:p w14:paraId="600C9BCF">
      <w:pPr>
        <w:spacing w:line="360" w:lineRule="auto"/>
        <w:ind w:firstLine="420" w:firstLineChars="200"/>
        <w:rPr>
          <w:rFonts w:hint="eastAsia" w:ascii="宋体" w:hAnsi="宋体"/>
        </w:rPr>
      </w:pPr>
      <w:r>
        <w:rPr>
          <w:rFonts w:hint="eastAsia" w:ascii="宋体" w:hAnsi="宋体"/>
        </w:rPr>
        <w:t>分拣生产线设备有“调试”和“生产”两种模式。转换开关SA1转到左边，设备处于“调试”模式；转换开关SA1转到右边，设备处于“运行”模式。生产模式共有两种工作方式，SA2转到左边为工作方式一，SA2转到右边为工作方式二。无论设备工作在哪种模式，按下急停按钮，设备立刻停止工作，确保安全。</w:t>
      </w:r>
    </w:p>
    <w:p w14:paraId="5F14BBBF">
      <w:pPr>
        <w:spacing w:before="156" w:beforeLines="50" w:line="360" w:lineRule="auto"/>
        <w:outlineLvl w:val="0"/>
        <w:rPr>
          <w:rFonts w:hint="eastAsia"/>
          <w:b/>
          <w:sz w:val="24"/>
        </w:rPr>
      </w:pPr>
      <w:bookmarkStart w:id="14" w:name="_Toc31355"/>
      <w:r>
        <w:rPr>
          <w:rFonts w:hint="eastAsia"/>
          <w:b/>
          <w:sz w:val="24"/>
        </w:rPr>
        <w:t>一、设备的初始位置</w:t>
      </w:r>
      <w:bookmarkEnd w:id="14"/>
    </w:p>
    <w:p w14:paraId="118FB3EC">
      <w:pPr>
        <w:spacing w:line="360" w:lineRule="auto"/>
        <w:ind w:firstLine="420" w:firstLineChars="200"/>
        <w:rPr>
          <w:rFonts w:hint="eastAsia" w:ascii="宋体" w:hAnsi="宋体"/>
        </w:rPr>
      </w:pPr>
      <w:r>
        <w:rPr>
          <w:rFonts w:hint="eastAsia" w:ascii="宋体" w:hAnsi="宋体"/>
        </w:rPr>
        <w:t>启动前，设备的运动部件必须在规定的位置，这些位置称作初始位置。有关部件的初始位置是：机械手的悬臂靠在左限位置，手臂气缸的活塞杆缩回，悬臂气缸缩回，手指松开，位置A、B、C的气缸活塞杆缩回，接料盘、皮带输送机的拖动电动机不转动。</w:t>
      </w:r>
    </w:p>
    <w:p w14:paraId="6ECB8E12">
      <w:pPr>
        <w:spacing w:line="360" w:lineRule="auto"/>
        <w:ind w:firstLine="420" w:firstLineChars="200"/>
        <w:rPr>
          <w:rFonts w:hint="eastAsia" w:ascii="宋体" w:hAnsi="宋体"/>
        </w:rPr>
      </w:pPr>
      <w:r>
        <w:rPr>
          <w:rFonts w:hint="eastAsia" w:ascii="宋体" w:hAnsi="宋体"/>
        </w:rPr>
        <w:t>开机后绿色警示灯闪亮，指示接通电源。如果设备不在初始位置，红色警示灯闪亮，如果设备在初始位置，红色警示灯熄灭，请自行选择一种复位方式进行复位，使设备处于初始位置。</w:t>
      </w:r>
    </w:p>
    <w:p w14:paraId="71512C01">
      <w:pPr>
        <w:spacing w:line="360" w:lineRule="auto"/>
        <w:outlineLvl w:val="0"/>
        <w:rPr>
          <w:rFonts w:hint="eastAsia"/>
          <w:b/>
          <w:sz w:val="24"/>
        </w:rPr>
      </w:pPr>
      <w:bookmarkStart w:id="15" w:name="_Toc23429"/>
      <w:r>
        <w:rPr>
          <w:rFonts w:hint="eastAsia"/>
          <w:b/>
          <w:sz w:val="24"/>
        </w:rPr>
        <w:t>二、调试模式</w:t>
      </w:r>
      <w:bookmarkEnd w:id="15"/>
    </w:p>
    <w:p w14:paraId="2D9FE1B1">
      <w:pPr>
        <w:spacing w:line="500" w:lineRule="exact"/>
        <w:ind w:firstLine="420" w:firstLineChars="200"/>
        <w:rPr>
          <w:rFonts w:hint="eastAsia" w:ascii="宋体" w:hAnsi="宋体"/>
        </w:rPr>
      </w:pPr>
      <w:r>
        <w:rPr>
          <w:rFonts w:hint="eastAsia" w:ascii="宋体" w:hAnsi="宋体"/>
        </w:rPr>
        <w:t>设备在投入运行前必须经过调试，检查各运动元件或部件是否能正常工作，以确保生产过程中的设备能可靠运行。将转换开关SA1转到左边，指示灯HL1常亮，提示设备处于“调试”模式。通过按钮盒对应的按钮或人机界面上对应的按钮进行调试操作。</w:t>
      </w:r>
    </w:p>
    <w:p w14:paraId="2BEF23FD">
      <w:pPr>
        <w:spacing w:line="360" w:lineRule="auto"/>
        <w:ind w:firstLine="420" w:firstLineChars="200"/>
        <w:outlineLvl w:val="1"/>
        <w:rPr>
          <w:rFonts w:hint="eastAsia" w:ascii="宋体" w:hAnsi="宋体"/>
          <w:b/>
        </w:rPr>
      </w:pPr>
      <w:r>
        <w:rPr>
          <w:rFonts w:hint="eastAsia" w:ascii="宋体" w:hAnsi="宋体"/>
          <w:b/>
        </w:rPr>
        <w:t>1．送料直流电机调试</w:t>
      </w:r>
    </w:p>
    <w:p w14:paraId="47542048">
      <w:pPr>
        <w:spacing w:line="360" w:lineRule="auto"/>
        <w:ind w:firstLine="420" w:firstLineChars="200"/>
        <w:rPr>
          <w:rFonts w:hint="eastAsia" w:ascii="宋体" w:hAnsi="宋体"/>
        </w:rPr>
      </w:pPr>
      <w:r>
        <w:rPr>
          <w:rFonts w:hint="eastAsia" w:ascii="宋体" w:hAnsi="宋体"/>
        </w:rPr>
        <w:t>要求送料直流电机启动后没有卡阻、转速异常或不转等情况。</w:t>
      </w:r>
    </w:p>
    <w:p w14:paraId="7C97C573">
      <w:pPr>
        <w:spacing w:line="360" w:lineRule="auto"/>
        <w:ind w:firstLine="420" w:firstLineChars="200"/>
        <w:rPr>
          <w:rFonts w:hint="eastAsia" w:ascii="宋体" w:hAnsi="宋体"/>
        </w:rPr>
      </w:pPr>
      <w:r>
        <w:rPr>
          <w:rFonts w:hint="eastAsia" w:ascii="宋体" w:hAnsi="宋体"/>
        </w:rPr>
        <w:t>按下触摸屏调试界面上的【直流电机】，送料直流电机转动，释放触摸屏调试界面上的【直流电机】，送料直流电机停止，如此反复的按下和释放按钮，可调试送料直流电机的运行。</w:t>
      </w:r>
    </w:p>
    <w:p w14:paraId="1E0BC285">
      <w:pPr>
        <w:spacing w:line="360" w:lineRule="auto"/>
        <w:ind w:firstLine="420" w:firstLineChars="200"/>
        <w:outlineLvl w:val="1"/>
        <w:rPr>
          <w:rFonts w:hint="eastAsia" w:ascii="宋体" w:hAnsi="宋体"/>
          <w:b/>
        </w:rPr>
      </w:pPr>
      <w:r>
        <w:rPr>
          <w:rFonts w:hint="eastAsia" w:ascii="宋体" w:hAnsi="宋体"/>
          <w:b/>
        </w:rPr>
        <w:t>2．机械手调试</w:t>
      </w:r>
    </w:p>
    <w:p w14:paraId="78BB0096">
      <w:pPr>
        <w:spacing w:line="360" w:lineRule="auto"/>
        <w:ind w:firstLine="420" w:firstLineChars="200"/>
        <w:rPr>
          <w:rFonts w:hint="eastAsia" w:ascii="宋体" w:hAnsi="宋体"/>
        </w:rPr>
      </w:pPr>
      <w:r>
        <w:rPr>
          <w:rFonts w:hint="eastAsia" w:ascii="宋体" w:hAnsi="宋体"/>
        </w:rPr>
        <w:t>要求各气缸活塞杆动作速度协调，无碰擦现象；每个气缸的磁性开关安装位置合理、信号准确；最后机械手停止在左限止位置，气动手指松开，其余各气缸活塞杆处于缩回状态。</w:t>
      </w:r>
    </w:p>
    <w:p w14:paraId="31806601">
      <w:pPr>
        <w:spacing w:line="360" w:lineRule="auto"/>
        <w:ind w:firstLine="420" w:firstLineChars="200"/>
        <w:rPr>
          <w:rFonts w:hint="eastAsia" w:ascii="宋体" w:hAnsi="宋体"/>
        </w:rPr>
      </w:pPr>
      <w:r>
        <w:rPr>
          <w:rFonts w:hint="eastAsia" w:ascii="宋体" w:hAnsi="宋体"/>
        </w:rPr>
        <w:t>按下触摸屏调试界面上的【机械手】，机械手悬臂气缸伸出，前限位传感器检测到信号→机械手手臂气缸下降，下限位传感器检测到信号→机械手手指气缸抓紧，抓紧限位传感器检测到信号→机械手手臂气缸上升，上限位传感器检测到信号→机械手手臂气缸缩回，后限位传感器检测到信号→机械手旋转气缸右转，右限位传感器检测到信号→机械手悬臂气缸伸出，前限位传感器检测到信号→机械手手臂气缸下降，下限位传感器检测到信号→机械手手指气缸松开，抓紧限位传感器检测到信号→机械手手臂气缸上升，上限位传感器检测到信号→机械手手臂气缸缩回，后限位传感器检测到信号→机械手旋转气缸左转，左限位传感器检测到信号，机械手停止。如此反复的按下触摸屏调试界面上的【机械手】，可调试各个气缸动作情况。</w:t>
      </w:r>
    </w:p>
    <w:p w14:paraId="3F57D4B4">
      <w:pPr>
        <w:spacing w:line="360" w:lineRule="auto"/>
        <w:ind w:firstLine="420" w:firstLineChars="200"/>
        <w:outlineLvl w:val="1"/>
        <w:rPr>
          <w:rFonts w:hint="eastAsia" w:ascii="宋体" w:hAnsi="宋体"/>
          <w:b/>
        </w:rPr>
      </w:pPr>
      <w:r>
        <w:rPr>
          <w:rFonts w:hint="eastAsia" w:ascii="宋体" w:hAnsi="宋体"/>
          <w:b/>
        </w:rPr>
        <w:t>3．皮带输送机调试</w:t>
      </w:r>
    </w:p>
    <w:p w14:paraId="1C7BD7BC">
      <w:pPr>
        <w:spacing w:line="360" w:lineRule="auto"/>
        <w:ind w:firstLine="480"/>
        <w:rPr>
          <w:rFonts w:hint="eastAsia" w:ascii="宋体" w:hAnsi="宋体"/>
          <w:szCs w:val="21"/>
        </w:rPr>
      </w:pPr>
      <w:r>
        <w:rPr>
          <w:rFonts w:hint="eastAsia" w:ascii="宋体" w:hAnsi="宋体"/>
          <w:szCs w:val="21"/>
        </w:rPr>
        <w:t>要求皮带输送机在调试过程中不能有不转、打滑或跳动过大等异常情况。</w:t>
      </w:r>
    </w:p>
    <w:p w14:paraId="153CC63B">
      <w:pPr>
        <w:spacing w:line="360" w:lineRule="auto"/>
        <w:ind w:firstLine="420" w:firstLineChars="200"/>
        <w:rPr>
          <w:rFonts w:hint="eastAsia" w:ascii="宋体" w:hAnsi="宋体"/>
          <w:szCs w:val="21"/>
        </w:rPr>
      </w:pPr>
      <w:r>
        <w:rPr>
          <w:rFonts w:ascii="宋体" w:hAnsi="宋体"/>
          <w:szCs w:val="21"/>
        </w:rPr>
        <w:t>按下</w:t>
      </w:r>
      <w:r>
        <w:rPr>
          <w:rFonts w:hint="eastAsia" w:ascii="宋体" w:hAnsi="宋体"/>
        </w:rPr>
        <w:t>触摸屏调试界面上的【皮带输送机】</w:t>
      </w:r>
      <w:r>
        <w:rPr>
          <w:rFonts w:ascii="宋体" w:hAnsi="宋体"/>
          <w:szCs w:val="21"/>
        </w:rPr>
        <w:t>，皮带输送机的三相交流异步电动机</w:t>
      </w:r>
      <w:r>
        <w:rPr>
          <w:rFonts w:hint="eastAsia" w:ascii="宋体" w:hAnsi="宋体"/>
          <w:szCs w:val="21"/>
        </w:rPr>
        <w:t>以25</w:t>
      </w:r>
      <w:r>
        <w:rPr>
          <w:rFonts w:ascii="宋体" w:hAnsi="宋体"/>
          <w:szCs w:val="21"/>
        </w:rPr>
        <w:t>Hz</w:t>
      </w:r>
      <w:r>
        <w:rPr>
          <w:rFonts w:hint="eastAsia" w:ascii="宋体" w:hAnsi="宋体"/>
          <w:szCs w:val="21"/>
        </w:rPr>
        <w:t>的频率正转（从A向C）</w:t>
      </w:r>
      <w:r>
        <w:rPr>
          <w:rFonts w:hint="eastAsia" w:ascii="宋体" w:hAnsi="宋体"/>
          <w:color w:val="000000"/>
          <w:szCs w:val="21"/>
        </w:rPr>
        <w:t>，4s后提速到35</w:t>
      </w:r>
      <w:r>
        <w:rPr>
          <w:rFonts w:ascii="宋体" w:hAnsi="宋体"/>
          <w:szCs w:val="21"/>
        </w:rPr>
        <w:t>Hz</w:t>
      </w:r>
      <w:r>
        <w:rPr>
          <w:rFonts w:hint="eastAsia" w:ascii="宋体" w:hAnsi="宋体"/>
          <w:szCs w:val="21"/>
        </w:rPr>
        <w:t>，</w:t>
      </w:r>
      <w:r>
        <w:rPr>
          <w:rFonts w:hint="eastAsia" w:ascii="宋体" w:hAnsi="宋体"/>
          <w:color w:val="000000"/>
          <w:szCs w:val="21"/>
        </w:rPr>
        <w:t>松开</w:t>
      </w:r>
      <w:r>
        <w:rPr>
          <w:rFonts w:hint="eastAsia" w:ascii="宋体" w:hAnsi="宋体"/>
        </w:rPr>
        <w:t>触摸屏调试界面上的【皮带输送机】</w:t>
      </w:r>
      <w:r>
        <w:rPr>
          <w:rFonts w:hint="eastAsia" w:ascii="宋体" w:hAnsi="宋体"/>
          <w:color w:val="000000"/>
          <w:szCs w:val="21"/>
        </w:rPr>
        <w:t>，交流电机停止。</w:t>
      </w:r>
      <w:r>
        <w:rPr>
          <w:rFonts w:hint="eastAsia" w:ascii="宋体" w:hAnsi="宋体"/>
          <w:szCs w:val="21"/>
        </w:rPr>
        <w:t>如此反复按下按钮，可调试皮带输送机的运行。</w:t>
      </w:r>
    </w:p>
    <w:p w14:paraId="66DE20DA">
      <w:pPr>
        <w:spacing w:line="360" w:lineRule="auto"/>
        <w:ind w:firstLine="420" w:firstLineChars="200"/>
        <w:outlineLvl w:val="1"/>
        <w:rPr>
          <w:rFonts w:ascii="宋体" w:hAnsi="宋体"/>
          <w:b/>
          <w:szCs w:val="21"/>
        </w:rPr>
      </w:pPr>
      <w:r>
        <w:rPr>
          <w:rFonts w:hint="eastAsia" w:ascii="宋体" w:hAnsi="宋体"/>
          <w:b/>
          <w:szCs w:val="21"/>
        </w:rPr>
        <w:t>4．推料</w:t>
      </w:r>
      <w:r>
        <w:rPr>
          <w:rFonts w:ascii="宋体" w:hAnsi="宋体"/>
          <w:b/>
          <w:szCs w:val="21"/>
        </w:rPr>
        <w:t>气缸的调试</w:t>
      </w:r>
    </w:p>
    <w:p w14:paraId="663712D4">
      <w:pPr>
        <w:spacing w:line="360" w:lineRule="auto"/>
        <w:ind w:firstLine="480"/>
        <w:rPr>
          <w:rFonts w:hint="eastAsia" w:ascii="宋体" w:hAnsi="宋体"/>
          <w:szCs w:val="21"/>
        </w:rPr>
      </w:pPr>
      <w:r>
        <w:rPr>
          <w:rFonts w:hint="eastAsia" w:ascii="宋体" w:hAnsi="宋体"/>
          <w:szCs w:val="21"/>
        </w:rPr>
        <w:t>要求各气缸活塞杆动作速度协调，无碰擦现象；最后各个气缸活塞杆处于缩回状态。</w:t>
      </w:r>
    </w:p>
    <w:p w14:paraId="4BDF1745">
      <w:pPr>
        <w:spacing w:line="360" w:lineRule="auto"/>
        <w:ind w:firstLine="420" w:firstLineChars="200"/>
        <w:rPr>
          <w:rFonts w:ascii="宋体" w:hAnsi="宋体"/>
          <w:szCs w:val="21"/>
        </w:rPr>
      </w:pPr>
      <w:r>
        <w:rPr>
          <w:rFonts w:hint="eastAsia" w:ascii="宋体" w:hAnsi="宋体"/>
          <w:szCs w:val="21"/>
        </w:rPr>
        <w:t>按下</w:t>
      </w:r>
      <w:r>
        <w:rPr>
          <w:rFonts w:hint="eastAsia" w:ascii="宋体" w:hAnsi="宋体"/>
        </w:rPr>
        <w:t>触摸屏调试界面上的【推料气缸】</w:t>
      </w:r>
      <w:r>
        <w:rPr>
          <w:rFonts w:hint="eastAsia" w:ascii="宋体" w:hAnsi="宋体"/>
          <w:szCs w:val="21"/>
        </w:rPr>
        <w:t>，按A、B、C位置气缸活塞杆逐个伸出；松开</w:t>
      </w:r>
      <w:r>
        <w:rPr>
          <w:rFonts w:hint="eastAsia" w:ascii="宋体" w:hAnsi="宋体"/>
        </w:rPr>
        <w:t>触摸屏调试界面上的【推料气缸】</w:t>
      </w:r>
      <w:r>
        <w:rPr>
          <w:rFonts w:hint="eastAsia" w:ascii="宋体" w:hAnsi="宋体"/>
          <w:szCs w:val="21"/>
        </w:rPr>
        <w:t>，</w:t>
      </w:r>
      <w:r>
        <w:rPr>
          <w:rFonts w:hint="eastAsia"/>
        </w:rPr>
        <w:t>按C、B、A逐个回缩，</w:t>
      </w:r>
      <w:r>
        <w:rPr>
          <w:rFonts w:ascii="宋体" w:hAnsi="宋体"/>
          <w:szCs w:val="21"/>
        </w:rPr>
        <w:t>如此</w:t>
      </w:r>
      <w:r>
        <w:rPr>
          <w:rFonts w:hint="eastAsia" w:ascii="宋体" w:hAnsi="宋体"/>
          <w:szCs w:val="21"/>
        </w:rPr>
        <w:t>反复按下按钮，</w:t>
      </w:r>
      <w:r>
        <w:rPr>
          <w:rFonts w:ascii="宋体" w:hAnsi="宋体"/>
          <w:szCs w:val="21"/>
        </w:rPr>
        <w:t>可调试</w:t>
      </w:r>
      <w:r>
        <w:rPr>
          <w:rFonts w:hint="eastAsia" w:ascii="宋体" w:hAnsi="宋体"/>
          <w:szCs w:val="21"/>
        </w:rPr>
        <w:t>各个气缸动作情况</w:t>
      </w:r>
      <w:r>
        <w:rPr>
          <w:rFonts w:ascii="宋体" w:hAnsi="宋体"/>
          <w:szCs w:val="21"/>
        </w:rPr>
        <w:t>。</w:t>
      </w:r>
    </w:p>
    <w:p w14:paraId="153B57B4">
      <w:pPr>
        <w:spacing w:line="360" w:lineRule="auto"/>
        <w:outlineLvl w:val="0"/>
        <w:rPr>
          <w:rFonts w:hint="eastAsia" w:ascii="宋体" w:hAnsi="宋体"/>
          <w:b/>
          <w:sz w:val="24"/>
        </w:rPr>
      </w:pPr>
      <w:bookmarkStart w:id="16" w:name="_Toc26915"/>
      <w:r>
        <w:rPr>
          <w:rFonts w:hint="eastAsia" w:ascii="宋体" w:hAnsi="宋体"/>
          <w:b/>
          <w:sz w:val="24"/>
        </w:rPr>
        <w:t>三、运行模式</w:t>
      </w:r>
      <w:bookmarkEnd w:id="16"/>
    </w:p>
    <w:p w14:paraId="296FEC53">
      <w:pPr>
        <w:spacing w:line="500" w:lineRule="exact"/>
        <w:ind w:firstLine="420" w:firstLineChars="200"/>
        <w:rPr>
          <w:rFonts w:hint="eastAsia" w:ascii="宋体" w:hAnsi="宋体"/>
        </w:rPr>
      </w:pPr>
      <w:r>
        <w:rPr>
          <w:rFonts w:hint="eastAsia" w:ascii="宋体" w:hAnsi="宋体"/>
        </w:rPr>
        <w:t>将转换开关SA1转到右边，指示灯HL2常亮，提示设备处于“运行”模式。</w:t>
      </w:r>
    </w:p>
    <w:p w14:paraId="0420BAA6">
      <w:pPr>
        <w:spacing w:line="360" w:lineRule="auto"/>
        <w:ind w:firstLine="420" w:firstLineChars="200"/>
        <w:outlineLvl w:val="1"/>
        <w:rPr>
          <w:rFonts w:hint="eastAsia" w:ascii="宋体" w:hAnsi="宋体"/>
          <w:b/>
          <w:szCs w:val="21"/>
        </w:rPr>
      </w:pPr>
      <w:r>
        <w:rPr>
          <w:rFonts w:hint="eastAsia" w:ascii="宋体" w:hAnsi="宋体"/>
          <w:b/>
          <w:szCs w:val="21"/>
        </w:rPr>
        <w:t>1.工作方式一</w:t>
      </w:r>
    </w:p>
    <w:p w14:paraId="3CCE6E85">
      <w:pPr>
        <w:spacing w:line="360" w:lineRule="auto"/>
        <w:ind w:firstLine="420" w:firstLineChars="200"/>
        <w:rPr>
          <w:rFonts w:hint="eastAsia" w:ascii="宋体" w:hAnsi="宋体"/>
          <w:szCs w:val="21"/>
        </w:rPr>
      </w:pPr>
      <w:r>
        <w:rPr>
          <w:rFonts w:hint="eastAsia" w:ascii="宋体" w:hAnsi="宋体"/>
          <w:szCs w:val="21"/>
        </w:rPr>
        <w:t>将转换开关SA2转到左边，按下设备启动按钮SB5，指示灯HL3以1HZ闪亮，指示设备处于“工作方式一”运行。人工从进料口放入工件，当皮带输送机进料口光电传感器检测到工件信号后，皮带输送机以35Hz由位置A向位置C的方向运行，运送工件到指定的位置进行分拣：</w:t>
      </w:r>
    </w:p>
    <w:p w14:paraId="03AF6B07">
      <w:pPr>
        <w:spacing w:line="360" w:lineRule="auto"/>
        <w:ind w:firstLine="420" w:firstLineChars="200"/>
        <w:rPr>
          <w:rFonts w:hint="eastAsia" w:ascii="宋体" w:hAnsi="宋体"/>
          <w:szCs w:val="21"/>
        </w:rPr>
      </w:pPr>
      <w:r>
        <w:rPr>
          <w:rFonts w:hint="eastAsia" w:ascii="宋体" w:hAnsi="宋体"/>
          <w:szCs w:val="21"/>
        </w:rPr>
        <w:t>（1）I槽套件必须满足第一个是金属、第二个是白色、第三个是黑色的要求；</w:t>
      </w:r>
    </w:p>
    <w:p w14:paraId="40081CC0">
      <w:pPr>
        <w:spacing w:line="360" w:lineRule="auto"/>
        <w:ind w:firstLine="420" w:firstLineChars="200"/>
        <w:rPr>
          <w:rFonts w:hint="eastAsia" w:ascii="宋体" w:hAnsi="宋体"/>
          <w:szCs w:val="21"/>
        </w:rPr>
      </w:pPr>
      <w:r>
        <w:rPr>
          <w:rFonts w:hint="eastAsia" w:ascii="宋体" w:hAnsi="宋体"/>
          <w:szCs w:val="21"/>
        </w:rPr>
        <w:t>（2）Ⅱ槽为I槽套件不需要的白色塑料工件；</w:t>
      </w:r>
    </w:p>
    <w:p w14:paraId="6E893951">
      <w:pPr>
        <w:spacing w:line="360" w:lineRule="auto"/>
        <w:ind w:firstLine="420" w:firstLineChars="200"/>
        <w:rPr>
          <w:rFonts w:hint="eastAsia" w:ascii="宋体" w:hAnsi="宋体"/>
          <w:szCs w:val="21"/>
        </w:rPr>
      </w:pPr>
      <w:r>
        <w:rPr>
          <w:rFonts w:hint="eastAsia" w:ascii="宋体" w:hAnsi="宋体"/>
          <w:szCs w:val="21"/>
        </w:rPr>
        <w:t>（3）Ⅲ槽为I槽套件不需要的黑色塑料工件；</w:t>
      </w:r>
    </w:p>
    <w:p w14:paraId="78264805">
      <w:pPr>
        <w:spacing w:line="360" w:lineRule="auto"/>
        <w:ind w:firstLine="420" w:firstLineChars="200"/>
        <w:rPr>
          <w:rFonts w:hint="eastAsia" w:ascii="宋体" w:hAnsi="宋体"/>
          <w:szCs w:val="21"/>
        </w:rPr>
      </w:pPr>
      <w:r>
        <w:rPr>
          <w:rFonts w:hint="eastAsia" w:ascii="宋体" w:hAnsi="宋体"/>
          <w:szCs w:val="21"/>
        </w:rPr>
        <w:t>（4）I槽套件不需要的金属工件机械手以合理地方式抓进处理盘。</w:t>
      </w:r>
    </w:p>
    <w:p w14:paraId="7BC7915E">
      <w:pPr>
        <w:spacing w:line="360" w:lineRule="auto"/>
        <w:ind w:firstLine="407" w:firstLineChars="194"/>
        <w:rPr>
          <w:rFonts w:hint="eastAsia" w:ascii="宋体" w:hAnsi="宋体"/>
          <w:szCs w:val="21"/>
        </w:rPr>
      </w:pPr>
      <w:r>
        <w:rPr>
          <w:rFonts w:hint="eastAsia" w:ascii="宋体" w:hAnsi="宋体"/>
          <w:szCs w:val="21"/>
        </w:rPr>
        <w:t>在分拣过程中，按设备停止按钮SB6，设备完成当前元件分拣后停止。I槽完成一套的生产任务，设备自动停止。设备停止，指示灯HL3熄灭。</w:t>
      </w:r>
    </w:p>
    <w:p w14:paraId="0CC01D8B">
      <w:pPr>
        <w:spacing w:line="360" w:lineRule="auto"/>
        <w:ind w:firstLine="420" w:firstLineChars="200"/>
        <w:outlineLvl w:val="1"/>
        <w:rPr>
          <w:rFonts w:hint="eastAsia" w:ascii="宋体" w:hAnsi="宋体"/>
          <w:b/>
          <w:szCs w:val="21"/>
        </w:rPr>
      </w:pPr>
      <w:r>
        <w:rPr>
          <w:rFonts w:hint="eastAsia" w:ascii="宋体" w:hAnsi="宋体"/>
          <w:b/>
          <w:szCs w:val="21"/>
        </w:rPr>
        <w:t>2.工作方式二</w:t>
      </w:r>
    </w:p>
    <w:p w14:paraId="783A3F35">
      <w:pPr>
        <w:spacing w:line="360" w:lineRule="auto"/>
        <w:ind w:firstLine="420" w:firstLineChars="200"/>
        <w:rPr>
          <w:rFonts w:hint="eastAsia" w:ascii="宋体" w:hAnsi="宋体"/>
          <w:szCs w:val="21"/>
        </w:rPr>
      </w:pPr>
      <w:r>
        <w:rPr>
          <w:rFonts w:hint="eastAsia" w:ascii="宋体" w:hAnsi="宋体"/>
          <w:szCs w:val="21"/>
        </w:rPr>
        <w:t>将转换开关SA2转到右边，按下设备启动按钮SB5，指示灯HL3以2HZ闪亮，指示设备处于“工作方式二”运行。人工从进料口放入工件，当皮带输送机进料口光电传感器检测到工件信号后，皮带输送机以25Hz由位置A向位置C的方向运行，运送工件到指定的位置进行分拣：</w:t>
      </w:r>
    </w:p>
    <w:p w14:paraId="63FB0A3F">
      <w:pPr>
        <w:numPr>
          <w:ilvl w:val="0"/>
          <w:numId w:val="4"/>
        </w:numPr>
        <w:spacing w:line="360" w:lineRule="auto"/>
        <w:ind w:firstLine="420" w:firstLineChars="200"/>
        <w:rPr>
          <w:rFonts w:hint="eastAsia" w:ascii="宋体" w:hAnsi="宋体"/>
          <w:szCs w:val="21"/>
        </w:rPr>
      </w:pPr>
      <w:r>
        <w:rPr>
          <w:rFonts w:hint="eastAsia" w:ascii="宋体" w:hAnsi="宋体"/>
          <w:szCs w:val="21"/>
        </w:rPr>
        <w:t>I槽和处理盘进料套件必须满足触摸屏的设定要求；</w:t>
      </w:r>
    </w:p>
    <w:p w14:paraId="36D189A0">
      <w:pPr>
        <w:spacing w:line="360" w:lineRule="auto"/>
        <w:rPr>
          <w:rFonts w:hint="eastAsia" w:ascii="宋体" w:hAnsi="宋体"/>
          <w:szCs w:val="21"/>
        </w:rPr>
      </w:pPr>
      <w:r>
        <w:rPr>
          <w:rFonts w:hint="eastAsia" w:ascii="宋体" w:hAnsi="宋体"/>
          <w:szCs w:val="21"/>
        </w:rPr>
        <w:t xml:space="preserve">    （2）Ⅱ槽为I槽和处理盘套件不需要的白色塑料工件；</w:t>
      </w:r>
    </w:p>
    <w:p w14:paraId="1EC5BA5F">
      <w:pPr>
        <w:numPr>
          <w:ilvl w:val="0"/>
          <w:numId w:val="5"/>
        </w:numPr>
        <w:spacing w:line="360" w:lineRule="auto"/>
        <w:ind w:firstLine="420" w:firstLineChars="200"/>
        <w:rPr>
          <w:rFonts w:hint="eastAsia" w:ascii="宋体" w:hAnsi="宋体"/>
          <w:szCs w:val="21"/>
        </w:rPr>
      </w:pPr>
      <w:r>
        <w:rPr>
          <w:rFonts w:hint="eastAsia" w:ascii="宋体" w:hAnsi="宋体"/>
          <w:szCs w:val="21"/>
        </w:rPr>
        <w:t>Ⅲ槽为I槽和处理盘套件不需要的黑色塑料工件；</w:t>
      </w:r>
    </w:p>
    <w:p w14:paraId="2DBD1AA5">
      <w:pPr>
        <w:numPr>
          <w:ilvl w:val="0"/>
          <w:numId w:val="5"/>
        </w:numPr>
        <w:spacing w:line="360" w:lineRule="auto"/>
        <w:ind w:firstLine="420" w:firstLineChars="200"/>
        <w:rPr>
          <w:rFonts w:hint="eastAsia" w:ascii="宋体" w:hAnsi="宋体"/>
          <w:szCs w:val="21"/>
        </w:rPr>
      </w:pPr>
      <w:r>
        <w:rPr>
          <w:rFonts w:hint="eastAsia" w:ascii="宋体" w:hAnsi="宋体"/>
          <w:szCs w:val="21"/>
        </w:rPr>
        <w:t>I槽和处理盘套件不需要的金属工件需要合理地人工处理；</w:t>
      </w:r>
    </w:p>
    <w:p w14:paraId="76612276">
      <w:pPr>
        <w:numPr>
          <w:ilvl w:val="0"/>
          <w:numId w:val="5"/>
        </w:numPr>
        <w:spacing w:line="360" w:lineRule="auto"/>
        <w:ind w:firstLine="420" w:firstLineChars="200"/>
        <w:rPr>
          <w:rFonts w:hint="eastAsia" w:ascii="宋体" w:hAnsi="宋体"/>
          <w:szCs w:val="21"/>
        </w:rPr>
      </w:pPr>
      <w:r>
        <w:rPr>
          <w:rFonts w:hint="eastAsia" w:ascii="宋体" w:hAnsi="宋体"/>
          <w:szCs w:val="21"/>
        </w:rPr>
        <w:t>触摸屏设定I槽套件的工件数不超过3个；</w:t>
      </w:r>
    </w:p>
    <w:p w14:paraId="4ACE557B">
      <w:pPr>
        <w:numPr>
          <w:ilvl w:val="0"/>
          <w:numId w:val="5"/>
        </w:numPr>
        <w:spacing w:line="360" w:lineRule="auto"/>
        <w:ind w:firstLine="420" w:firstLineChars="200"/>
        <w:rPr>
          <w:rFonts w:hint="eastAsia" w:ascii="宋体" w:hAnsi="宋体"/>
          <w:szCs w:val="21"/>
        </w:rPr>
      </w:pPr>
      <w:r>
        <w:rPr>
          <w:rFonts w:hint="eastAsia" w:ascii="宋体" w:hAnsi="宋体"/>
          <w:szCs w:val="21"/>
        </w:rPr>
        <w:t>触摸屏设定处理盘套件的工件数不超过2个；</w:t>
      </w:r>
    </w:p>
    <w:p w14:paraId="298A5119">
      <w:pPr>
        <w:numPr>
          <w:ilvl w:val="0"/>
          <w:numId w:val="5"/>
        </w:numPr>
        <w:spacing w:line="360" w:lineRule="auto"/>
        <w:ind w:firstLine="420" w:firstLineChars="200"/>
        <w:rPr>
          <w:rFonts w:hint="eastAsia" w:ascii="宋体" w:hAnsi="宋体"/>
          <w:szCs w:val="21"/>
        </w:rPr>
      </w:pPr>
      <w:r>
        <w:rPr>
          <w:rFonts w:hint="eastAsia" w:ascii="宋体" w:hAnsi="宋体"/>
          <w:szCs w:val="21"/>
        </w:rPr>
        <w:t>I槽和处理盘均需要的工件，I槽优先。</w:t>
      </w:r>
    </w:p>
    <w:p w14:paraId="7A9566E4">
      <w:pPr>
        <w:spacing w:line="360" w:lineRule="auto"/>
        <w:ind w:firstLine="407" w:firstLineChars="194"/>
        <w:rPr>
          <w:rFonts w:hint="eastAsia" w:ascii="宋体" w:hAnsi="宋体"/>
          <w:szCs w:val="21"/>
        </w:rPr>
      </w:pPr>
      <w:r>
        <w:rPr>
          <w:rFonts w:hint="eastAsia" w:ascii="宋体" w:hAnsi="宋体"/>
          <w:szCs w:val="21"/>
        </w:rPr>
        <w:t>在分拣过程中，按设备停止按钮SB6，设备完成当前工件分拣后停止。I槽完成一套设定料并且接料盘进一套设定料，设备自动停止。设备停止，指示灯HL3熄灭。</w:t>
      </w:r>
    </w:p>
    <w:p w14:paraId="351595CC">
      <w:pPr>
        <w:spacing w:line="360" w:lineRule="auto"/>
        <w:outlineLvl w:val="0"/>
        <w:rPr>
          <w:rFonts w:hint="eastAsia" w:ascii="宋体" w:hAnsi="宋体"/>
          <w:szCs w:val="21"/>
        </w:rPr>
      </w:pPr>
      <w:bookmarkStart w:id="17" w:name="_Toc25093"/>
      <w:r>
        <w:rPr>
          <w:rFonts w:hint="eastAsia" w:ascii="宋体" w:hAnsi="宋体"/>
          <w:b/>
          <w:sz w:val="24"/>
        </w:rPr>
        <w:t>四、触摸屏的制作</w:t>
      </w:r>
      <w:bookmarkEnd w:id="17"/>
    </w:p>
    <w:p w14:paraId="1D67C9E8">
      <w:pPr>
        <w:spacing w:line="360" w:lineRule="auto"/>
        <w:ind w:firstLine="420" w:firstLineChars="200"/>
        <w:rPr>
          <w:rFonts w:hint="eastAsia" w:ascii="宋体" w:hAnsi="宋体"/>
          <w:szCs w:val="21"/>
        </w:rPr>
      </w:pPr>
      <w:r>
        <w:rPr>
          <w:rFonts w:hint="eastAsia" w:ascii="宋体" w:hAnsi="宋体"/>
          <w:szCs w:val="21"/>
        </w:rPr>
        <w:t>正确设置触摸屏与PLC的通信参数，保证触摸屏操作与统计。设备调试界面和运行界面分别如图2、图3和图4所示，其中触摸屏运行界面上需要统计I槽、Ⅱ槽、Ⅲ槽、接料盘在工作方式一或工作方式二的进料数，切换工作方式前需要将数据手动清零。工作方式二在运行界面二的数据设定区设定I槽和处理盘进料工件顺序和数量。</w:t>
      </w:r>
    </w:p>
    <w:p w14:paraId="7BBE137B">
      <w:pPr>
        <w:spacing w:line="360" w:lineRule="auto"/>
        <w:ind w:firstLine="420" w:firstLineChars="200"/>
        <w:jc w:val="center"/>
        <w:rPr>
          <w:rFonts w:hint="eastAsia" w:ascii="宋体" w:hAnsi="宋体"/>
          <w:szCs w:val="21"/>
        </w:rPr>
      </w:pPr>
      <w:r>
        <w:drawing>
          <wp:inline distT="0" distB="0" distL="114300" distR="114300">
            <wp:extent cx="3785870" cy="1858645"/>
            <wp:effectExtent l="12700" t="12700" r="26670" b="184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3785870" cy="1858645"/>
                    </a:xfrm>
                    <a:prstGeom prst="rect">
                      <a:avLst/>
                    </a:prstGeom>
                    <a:solidFill>
                      <a:srgbClr val="000080"/>
                    </a:solidFill>
                    <a:ln w="12700" cap="flat" cmpd="sng">
                      <a:solidFill>
                        <a:srgbClr val="000080"/>
                      </a:solidFill>
                      <a:prstDash val="solid"/>
                      <a:miter/>
                      <a:headEnd type="none" w="med" len="med"/>
                      <a:tailEnd type="none" w="med" len="med"/>
                    </a:ln>
                  </pic:spPr>
                </pic:pic>
              </a:graphicData>
            </a:graphic>
          </wp:inline>
        </w:drawing>
      </w:r>
    </w:p>
    <w:p w14:paraId="6E404E19">
      <w:pPr>
        <w:spacing w:line="360" w:lineRule="auto"/>
        <w:ind w:firstLine="422" w:firstLineChars="200"/>
        <w:jc w:val="center"/>
        <w:rPr>
          <w:rFonts w:hint="eastAsia" w:ascii="楷体_GB2312" w:hAnsi="宋体" w:eastAsia="楷体_GB2312"/>
          <w:b/>
        </w:rPr>
      </w:pPr>
      <w:r>
        <w:rPr>
          <w:rFonts w:hint="eastAsia" w:ascii="楷体_GB2312" w:hAnsi="宋体" w:eastAsia="楷体_GB2312"/>
          <w:b/>
        </w:rPr>
        <w:t>图2  设备调试界面</w:t>
      </w:r>
    </w:p>
    <w:p w14:paraId="0A58ACCC">
      <w:pPr>
        <w:spacing w:line="360" w:lineRule="auto"/>
        <w:ind w:firstLine="420" w:firstLineChars="200"/>
        <w:jc w:val="center"/>
        <w:rPr>
          <w:rFonts w:hint="eastAsia" w:ascii="宋体" w:hAnsi="宋体"/>
          <w:szCs w:val="21"/>
        </w:rPr>
      </w:pPr>
      <w:r>
        <w:drawing>
          <wp:inline distT="0" distB="0" distL="114300" distR="114300">
            <wp:extent cx="3703955" cy="2043430"/>
            <wp:effectExtent l="12700" t="12700" r="17145" b="165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3703955" cy="2043430"/>
                    </a:xfrm>
                    <a:prstGeom prst="rect">
                      <a:avLst/>
                    </a:prstGeom>
                    <a:solidFill>
                      <a:srgbClr val="000080"/>
                    </a:solidFill>
                    <a:ln w="12700" cap="flat" cmpd="sng">
                      <a:solidFill>
                        <a:srgbClr val="000080"/>
                      </a:solidFill>
                      <a:prstDash val="solid"/>
                      <a:miter/>
                      <a:headEnd type="none" w="med" len="med"/>
                      <a:tailEnd type="none" w="med" len="med"/>
                    </a:ln>
                  </pic:spPr>
                </pic:pic>
              </a:graphicData>
            </a:graphic>
          </wp:inline>
        </w:drawing>
      </w:r>
    </w:p>
    <w:p w14:paraId="357C2B26">
      <w:pPr>
        <w:spacing w:line="360" w:lineRule="auto"/>
        <w:ind w:firstLine="422" w:firstLineChars="200"/>
        <w:jc w:val="center"/>
        <w:rPr>
          <w:rFonts w:hint="eastAsia" w:ascii="楷体_GB2312" w:hAnsi="宋体" w:eastAsia="楷体_GB2312"/>
          <w:b/>
        </w:rPr>
      </w:pPr>
      <w:r>
        <w:rPr>
          <w:rFonts w:hint="eastAsia" w:ascii="楷体_GB2312" w:hAnsi="宋体" w:eastAsia="楷体_GB2312"/>
          <w:b/>
        </w:rPr>
        <w:t>图3  运行界面一</w:t>
      </w:r>
    </w:p>
    <w:p w14:paraId="13FFAB77">
      <w:pPr>
        <w:spacing w:line="360" w:lineRule="auto"/>
        <w:ind w:firstLine="420" w:firstLineChars="200"/>
        <w:jc w:val="center"/>
        <w:rPr>
          <w:rFonts w:hint="eastAsia" w:ascii="楷体_GB2312" w:hAnsi="宋体" w:eastAsia="楷体_GB2312"/>
          <w:b/>
        </w:rPr>
      </w:pPr>
      <w:r>
        <w:drawing>
          <wp:inline distT="0" distB="0" distL="114300" distR="114300">
            <wp:extent cx="3794125" cy="2116455"/>
            <wp:effectExtent l="12700" t="12700" r="18415" b="1968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3794125" cy="2116455"/>
                    </a:xfrm>
                    <a:prstGeom prst="rect">
                      <a:avLst/>
                    </a:prstGeom>
                    <a:solidFill>
                      <a:srgbClr val="000080"/>
                    </a:solidFill>
                    <a:ln w="12700" cap="flat" cmpd="sng">
                      <a:solidFill>
                        <a:srgbClr val="000080"/>
                      </a:solidFill>
                      <a:prstDash val="solid"/>
                      <a:miter/>
                      <a:headEnd type="none" w="med" len="med"/>
                      <a:tailEnd type="none" w="med" len="med"/>
                    </a:ln>
                  </pic:spPr>
                </pic:pic>
              </a:graphicData>
            </a:graphic>
          </wp:inline>
        </w:drawing>
      </w:r>
    </w:p>
    <w:p w14:paraId="239A501A">
      <w:pPr>
        <w:spacing w:line="360" w:lineRule="auto"/>
        <w:ind w:firstLine="422" w:firstLineChars="200"/>
        <w:jc w:val="center"/>
        <w:rPr>
          <w:rFonts w:hint="eastAsia" w:ascii="楷体_GB2312" w:hAnsi="宋体" w:eastAsia="楷体_GB2312"/>
          <w:b/>
        </w:rPr>
      </w:pPr>
      <w:r>
        <w:rPr>
          <w:rFonts w:hint="eastAsia" w:ascii="楷体_GB2312" w:hAnsi="宋体" w:eastAsia="楷体_GB2312"/>
          <w:b/>
        </w:rPr>
        <w:t>图4  运行界面二</w:t>
      </w:r>
    </w:p>
    <w:p w14:paraId="29B3E090">
      <w:pPr>
        <w:rPr>
          <w:rFonts w:hint="eastAsia" w:ascii="微软雅黑" w:hAnsi="微软雅黑" w:eastAsia="微软雅黑" w:cs="微软雅黑"/>
          <w:snapToGrid w:val="0"/>
          <w:color w:val="000000"/>
          <w:spacing w:val="2"/>
          <w:sz w:val="28"/>
          <w:szCs w:val="28"/>
          <w:lang w:val="en-US" w:eastAsia="zh-CN" w:bidi="ar-SA"/>
        </w:rPr>
      </w:pPr>
      <w:r>
        <w:rPr>
          <w:rFonts w:hint="eastAsia" w:ascii="微软雅黑" w:hAnsi="微软雅黑" w:eastAsia="微软雅黑" w:cs="微软雅黑"/>
          <w:snapToGrid w:val="0"/>
          <w:color w:val="000000"/>
          <w:spacing w:val="2"/>
          <w:sz w:val="28"/>
          <w:szCs w:val="28"/>
          <w:lang w:val="en-US" w:eastAsia="zh-CN" w:bidi="ar-SA"/>
        </w:rPr>
        <w:br w:type="page"/>
      </w:r>
    </w:p>
    <w:p w14:paraId="0A41C4D3">
      <w:pPr>
        <w:rPr>
          <w:rFonts w:hint="eastAsia" w:ascii="微软雅黑" w:hAnsi="微软雅黑" w:eastAsia="微软雅黑" w:cs="微软雅黑"/>
          <w:snapToGrid w:val="0"/>
          <w:color w:val="000000"/>
          <w:spacing w:val="2"/>
          <w:sz w:val="28"/>
          <w:szCs w:val="28"/>
          <w:lang w:val="en-US" w:eastAsia="zh-CN" w:bidi="ar-SA"/>
        </w:rPr>
      </w:pPr>
      <w:r>
        <w:rPr>
          <w:rFonts w:hint="eastAsia" w:ascii="微软雅黑" w:hAnsi="微软雅黑" w:eastAsia="微软雅黑" w:cs="微软雅黑"/>
          <w:snapToGrid w:val="0"/>
          <w:color w:val="000000"/>
          <w:spacing w:val="2"/>
          <w:sz w:val="28"/>
          <w:szCs w:val="28"/>
          <w:lang w:val="en-US" w:eastAsia="zh-CN" w:bidi="ar-SA"/>
        </w:rPr>
        <w:t>参考电路图：</w:t>
      </w:r>
    </w:p>
    <w:p w14:paraId="6DD4BEC9">
      <w:pPr>
        <w:rPr>
          <w:rFonts w:hint="eastAsia" w:ascii="微软雅黑" w:hAnsi="微软雅黑" w:eastAsia="微软雅黑" w:cs="微软雅黑"/>
          <w:snapToGrid w:val="0"/>
          <w:color w:val="000000"/>
          <w:spacing w:val="2"/>
          <w:sz w:val="28"/>
          <w:szCs w:val="28"/>
          <w:lang w:val="en-US" w:eastAsia="zh-CN" w:bidi="ar-SA"/>
        </w:rPr>
      </w:pPr>
      <w:r>
        <w:rPr>
          <w:sz w:val="21"/>
        </w:rPr>
        <mc:AlternateContent>
          <mc:Choice Requires="wps">
            <w:drawing>
              <wp:anchor distT="0" distB="0" distL="114300" distR="114300" simplePos="0" relativeHeight="251668480" behindDoc="0" locked="0" layoutInCell="1" allowOverlap="1">
                <wp:simplePos x="0" y="0"/>
                <wp:positionH relativeFrom="column">
                  <wp:posOffset>5427980</wp:posOffset>
                </wp:positionH>
                <wp:positionV relativeFrom="paragraph">
                  <wp:posOffset>536575</wp:posOffset>
                </wp:positionV>
                <wp:extent cx="161925" cy="581025"/>
                <wp:effectExtent l="0" t="0" r="5715" b="13335"/>
                <wp:wrapNone/>
                <wp:docPr id="13" name="矩形 13"/>
                <wp:cNvGraphicFramePr/>
                <a:graphic xmlns:a="http://schemas.openxmlformats.org/drawingml/2006/main">
                  <a:graphicData uri="http://schemas.microsoft.com/office/word/2010/wordprocessingShape">
                    <wps:wsp>
                      <wps:cNvSpPr/>
                      <wps:spPr>
                        <a:xfrm>
                          <a:off x="6570980" y="1755775"/>
                          <a:ext cx="161925" cy="5810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7.4pt;margin-top:42.25pt;height:45.75pt;width:12.75pt;z-index:251668480;v-text-anchor:middle;mso-width-relative:page;mso-height-relative:page;" fillcolor="#FFFFFF [3212]" filled="t" stroked="f" coordsize="21600,21600" o:gfxdata="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&#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6Y19nZAAAACgEAAA8AAAAAAAAAAQAgAAAAIgAAAGRy&#10;cy9kb3ducmV2LnhtbFBLAQIUABQAAAAIAIdO4kAL6XBkdgIAANgEAAAOAAAAAAAAAAEAIAAAACgB&#10;AABkcnMvZTJvRG9jLnhtbFBLBQYAAAAABgAGAFkBAAAQ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2165985</wp:posOffset>
                </wp:positionH>
                <wp:positionV relativeFrom="paragraph">
                  <wp:posOffset>2550795</wp:posOffset>
                </wp:positionV>
                <wp:extent cx="685800" cy="3114675"/>
                <wp:effectExtent l="0" t="0" r="0" b="9525"/>
                <wp:wrapNone/>
                <wp:docPr id="3" name="矩形 3"/>
                <wp:cNvGraphicFramePr/>
                <a:graphic xmlns:a="http://schemas.openxmlformats.org/drawingml/2006/main">
                  <a:graphicData uri="http://schemas.microsoft.com/office/word/2010/wordprocessingShape">
                    <wps:wsp>
                      <wps:cNvSpPr/>
                      <wps:spPr>
                        <a:xfrm>
                          <a:off x="3470910" y="4474845"/>
                          <a:ext cx="685800" cy="31146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F5590A7">
                            <w:pPr>
                              <w:jc w:val="center"/>
                              <w:rPr>
                                <w:rFonts w:hint="eastAsia" w:eastAsia="宋体"/>
                                <w:color w:val="000000" w:themeColor="text1"/>
                                <w:sz w:val="21"/>
                                <w:lang w:val="en-US" w:eastAsia="zh-CN"/>
                                <w14:textFill>
                                  <w14:solidFill>
                                    <w14:schemeClr w14:val="tx1"/>
                                  </w14:solidFill>
                                </w14:textFill>
                              </w:rPr>
                            </w:pPr>
                            <w:r>
                              <w:rPr>
                                <w:rFonts w:hint="eastAsia" w:eastAsia="宋体"/>
                                <w:color w:val="000000" w:themeColor="text1"/>
                                <w:sz w:val="21"/>
                                <w:lang w:val="en-US" w:eastAsia="zh-CN"/>
                                <w14:textFill>
                                  <w14:solidFill>
                                    <w14:schemeClr w14:val="tx1"/>
                                  </w14:solidFill>
                                </w14:textFill>
                              </w:rPr>
                              <w:t>FX3U</w:t>
                            </w:r>
                          </w:p>
                          <w:p w14:paraId="05A7B63E">
                            <w:pPr>
                              <w:jc w:val="center"/>
                              <w:rPr>
                                <w:rFonts w:hint="default" w:eastAsia="宋体"/>
                                <w:color w:val="000000" w:themeColor="text1"/>
                                <w:sz w:val="21"/>
                                <w:lang w:val="en-US" w:eastAsia="zh-CN"/>
                                <w14:textFill>
                                  <w14:solidFill>
                                    <w14:schemeClr w14:val="tx1"/>
                                  </w14:solidFill>
                                </w14:textFill>
                              </w:rPr>
                            </w:pPr>
                            <w:r>
                              <w:rPr>
                                <w:rFonts w:hint="eastAsia" w:eastAsia="宋体"/>
                                <w:color w:val="000000" w:themeColor="text1"/>
                                <w:sz w:val="21"/>
                                <w:lang w:val="en-US" w:eastAsia="zh-CN"/>
                                <w14:textFill>
                                  <w14:solidFill>
                                    <w14:schemeClr w14:val="tx1"/>
                                  </w14:solidFill>
                                </w14:textFill>
                              </w:rPr>
                              <w:t>-48MR</w:t>
                            </w:r>
                          </w:p>
                        </w:txbxContent>
                      </wps:txbx>
                      <wps:bodyPr rot="0" spcFirstLastPara="0" vertOverflow="overflow" horzOverflow="overflow" vert="horz" wrap="square" lIns="91440" tIns="45720" rIns="91440" bIns="45720" numCol="1" spcCol="0" rtlCol="0" fromWordArt="0" anchor="ctr" anchorCtr="0" forceAA="0" compatLnSpc="1">
                        <a:noAutofit/>
                        <a:scene3d>
                          <a:camera prst="orthographicFront">
                            <a:rot lat="0" lon="21000000" rev="0"/>
                          </a:camera>
                          <a:lightRig rig="threePt" dir="t"/>
                        </a:scene3d>
                      </wps:bodyPr>
                    </wps:wsp>
                  </a:graphicData>
                </a:graphic>
              </wp:anchor>
            </w:drawing>
          </mc:Choice>
          <mc:Fallback>
            <w:pict>
              <v:rect id="_x0000_s1026" o:spid="_x0000_s1026" o:spt="1" style="position:absolute;left:0pt;margin-left:170.55pt;margin-top:200.85pt;height:245.25pt;width:54pt;z-index:251667456;v-text-anchor:middle;mso-width-relative:page;mso-height-relative:page;" fillcolor="#FFFFFF [3212]" filled="t" stroked="f" coordsize="21600,21600" o:gfxdata="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djYka2wAA&#10;AAsBAAAPAAAAAAAAAAEAIAAAACIAAABkcnMvZG93bnJldi54bWxQSwECFAAUAAAACACHTuJAuVH6&#10;eMYCAABxBQAADgAAAAAAAAABACAAAAAqAQAAZHJzL2Uyb0RvYy54bWxQSwUGAAAAAAYABgBZAQAA&#10;YgYAAAAA&#10;">
                <v:fill on="t" focussize="0,0"/>
                <v:stroke on="f" weight="1pt" miterlimit="8" joinstyle="miter"/>
                <v:imagedata o:title=""/>
                <o:lock v:ext="edit" aspectratio="f"/>
                <v:textbox>
                  <w:txbxContent>
                    <w:p w14:paraId="1F5590A7">
                      <w:pPr>
                        <w:jc w:val="center"/>
                        <w:rPr>
                          <w:rFonts w:hint="eastAsia" w:eastAsia="宋体"/>
                          <w:color w:val="000000" w:themeColor="text1"/>
                          <w:sz w:val="21"/>
                          <w:lang w:val="en-US" w:eastAsia="zh-CN"/>
                          <w14:textFill>
                            <w14:solidFill>
                              <w14:schemeClr w14:val="tx1"/>
                            </w14:solidFill>
                          </w14:textFill>
                        </w:rPr>
                      </w:pPr>
                      <w:r>
                        <w:rPr>
                          <w:rFonts w:hint="eastAsia" w:eastAsia="宋体"/>
                          <w:color w:val="000000" w:themeColor="text1"/>
                          <w:sz w:val="21"/>
                          <w:lang w:val="en-US" w:eastAsia="zh-CN"/>
                          <w14:textFill>
                            <w14:solidFill>
                              <w14:schemeClr w14:val="tx1"/>
                            </w14:solidFill>
                          </w14:textFill>
                        </w:rPr>
                        <w:t>FX3U</w:t>
                      </w:r>
                    </w:p>
                    <w:p w14:paraId="05A7B63E">
                      <w:pPr>
                        <w:jc w:val="center"/>
                        <w:rPr>
                          <w:rFonts w:hint="default" w:eastAsia="宋体"/>
                          <w:color w:val="000000" w:themeColor="text1"/>
                          <w:sz w:val="21"/>
                          <w:lang w:val="en-US" w:eastAsia="zh-CN"/>
                          <w14:textFill>
                            <w14:solidFill>
                              <w14:schemeClr w14:val="tx1"/>
                            </w14:solidFill>
                          </w14:textFill>
                        </w:rPr>
                      </w:pPr>
                      <w:r>
                        <w:rPr>
                          <w:rFonts w:hint="eastAsia" w:eastAsia="宋体"/>
                          <w:color w:val="000000" w:themeColor="text1"/>
                          <w:sz w:val="21"/>
                          <w:lang w:val="en-US" w:eastAsia="zh-CN"/>
                          <w14:textFill>
                            <w14:solidFill>
                              <w14:schemeClr w14:val="tx1"/>
                            </w14:solidFill>
                          </w14:textFill>
                        </w:rPr>
                        <w:t>-48MR</w:t>
                      </w:r>
                    </w:p>
                  </w:txbxContent>
                </v:textbox>
              </v:rect>
            </w:pict>
          </mc:Fallback>
        </mc:AlternateContent>
      </w:r>
      <w:r>
        <w:drawing>
          <wp:inline distT="0" distB="0" distL="114300" distR="114300">
            <wp:extent cx="5822315" cy="8220710"/>
            <wp:effectExtent l="0" t="0" r="1460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822315" cy="8220710"/>
                    </a:xfrm>
                    <a:prstGeom prst="rect">
                      <a:avLst/>
                    </a:prstGeom>
                    <a:noFill/>
                    <a:ln>
                      <a:noFill/>
                    </a:ln>
                  </pic:spPr>
                </pic:pic>
              </a:graphicData>
            </a:graphic>
          </wp:inline>
        </w:drawing>
      </w:r>
    </w:p>
    <w:p w14:paraId="7FAF2EC7">
      <w:pPr>
        <w:numPr>
          <w:ilvl w:val="0"/>
          <w:numId w:val="0"/>
        </w:numPr>
        <w:kinsoku/>
        <w:autoSpaceDE/>
        <w:autoSpaceDN/>
        <w:adjustRightInd/>
        <w:snapToGrid/>
        <w:spacing w:before="156" w:beforeLines="50" w:after="156" w:afterLines="50" w:line="400" w:lineRule="exact"/>
        <w:jc w:val="both"/>
        <w:textAlignment w:val="auto"/>
        <w:outlineLvl w:val="1"/>
        <w:rPr>
          <w:rFonts w:hint="default" w:ascii="微软雅黑" w:hAnsi="微软雅黑" w:eastAsia="微软雅黑" w:cs="微软雅黑"/>
          <w:snapToGrid w:val="0"/>
          <w:color w:val="000000"/>
          <w:spacing w:val="2"/>
          <w:sz w:val="28"/>
          <w:szCs w:val="28"/>
          <w:lang w:val="en-US" w:eastAsia="zh-CN" w:bidi="ar-SA"/>
        </w:rPr>
      </w:pPr>
      <w:bookmarkStart w:id="18" w:name="_Toc13917"/>
      <w:r>
        <w:rPr>
          <w:rStyle w:val="11"/>
          <w:rFonts w:hint="eastAsia"/>
          <w:lang w:val="en-US" w:eastAsia="zh-CN"/>
        </w:rPr>
        <w:t>附件1：理论题库</w:t>
      </w:r>
      <w:bookmarkEnd w:id="18"/>
      <w:r>
        <w:rPr>
          <w:rFonts w:hint="eastAsia" w:ascii="微软雅黑" w:hAnsi="微软雅黑" w:eastAsia="微软雅黑" w:cs="微软雅黑"/>
          <w:snapToGrid w:val="0"/>
          <w:color w:val="000000"/>
          <w:spacing w:val="2"/>
          <w:sz w:val="28"/>
          <w:szCs w:val="28"/>
          <w:lang w:val="en-US" w:eastAsia="zh-CN" w:bidi="ar-SA"/>
        </w:rPr>
        <w:t>（单项选择题337题、判断题163题）</w:t>
      </w:r>
    </w:p>
    <w:p w14:paraId="2D7FB087">
      <w:pPr>
        <w:keepNext w:val="0"/>
        <w:keepLines w:val="0"/>
        <w:pageBreakBefore w:val="0"/>
        <w:widowControl/>
        <w:numPr>
          <w:ilvl w:val="0"/>
          <w:numId w:val="0"/>
        </w:numPr>
        <w:tabs>
          <w:tab w:val="left" w:pos="420"/>
          <w:tab w:val="left" w:pos="2520"/>
          <w:tab w:val="left" w:pos="4620"/>
          <w:tab w:val="left" w:pos="6720"/>
        </w:tabs>
        <w:kinsoku w:val="0"/>
        <w:wordWrap/>
        <w:overflowPunct/>
        <w:topLinePunct w:val="0"/>
        <w:autoSpaceDE w:val="0"/>
        <w:autoSpaceDN w:val="0"/>
        <w:bidi w:val="0"/>
        <w:adjustRightInd w:val="0"/>
        <w:snapToGrid w:val="0"/>
        <w:spacing w:line="360" w:lineRule="exact"/>
        <w:textAlignment w:val="baseline"/>
        <w:outlineLvl w:val="0"/>
        <w:rPr>
          <w:rFonts w:hint="eastAsia" w:ascii="方正楷体_GB2312" w:hAnsi="方正楷体_GB2312" w:eastAsia="方正楷体_GB2312" w:cs="方正楷体_GB2312"/>
          <w:spacing w:val="-4"/>
          <w:sz w:val="24"/>
          <w:szCs w:val="24"/>
          <w:lang w:val="en-US" w:eastAsia="zh-CN"/>
        </w:rPr>
      </w:pPr>
      <w:bookmarkStart w:id="19" w:name="_Toc20427"/>
      <w:r>
        <w:rPr>
          <w:rFonts w:hint="eastAsia" w:ascii="方正楷体_GB2312" w:hAnsi="方正楷体_GB2312" w:eastAsia="方正楷体_GB2312" w:cs="方正楷体_GB2312"/>
          <w:spacing w:val="-4"/>
          <w:sz w:val="24"/>
          <w:szCs w:val="24"/>
          <w:lang w:val="en-US" w:eastAsia="zh-CN"/>
        </w:rPr>
        <w:t>一、单项选择题</w:t>
      </w:r>
      <w:bookmarkEnd w:id="19"/>
    </w:p>
    <w:p w14:paraId="0A559AE6">
      <w:pPr>
        <w:keepNext w:val="0"/>
        <w:keepLines w:val="0"/>
        <w:pageBreakBefore w:val="0"/>
        <w:widowControl/>
        <w:numPr>
          <w:ilvl w:val="0"/>
          <w:numId w:val="6"/>
        </w:numPr>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left="425" w:leftChars="0" w:hanging="425"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爱岗敬业作为职业道德的重要内容，是指员工（ ）。</w:t>
      </w:r>
    </w:p>
    <w:p w14:paraId="0D70F8F1">
      <w:pPr>
        <w:keepNext w:val="0"/>
        <w:keepLines w:val="0"/>
        <w:pageBreakBefore w:val="0"/>
        <w:widowControl/>
        <w:numPr>
          <w:ilvl w:val="0"/>
          <w:numId w:val="0"/>
        </w:numPr>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leftChars="0"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 xml:space="preserve">A </w:t>
      </w:r>
      <w:r>
        <w:rPr>
          <w:rFonts w:hint="eastAsia" w:ascii="方正楷体_GB2312" w:hAnsi="方正楷体_GB2312" w:eastAsia="方正楷体_GB2312" w:cs="方正楷体_GB2312"/>
          <w:sz w:val="24"/>
          <w:szCs w:val="24"/>
        </w:rPr>
        <w:t>热爱自己喜欢的岗位</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rPr>
        <w:t>热爱有钱的岗位</w:t>
      </w:r>
      <w:r>
        <w:rPr>
          <w:rFonts w:hint="eastAsia" w:ascii="方正楷体_GB2312" w:hAnsi="方正楷体_GB2312" w:eastAsia="方正楷体_GB2312" w:cs="方正楷体_GB2312"/>
          <w:sz w:val="24"/>
          <w:szCs w:val="24"/>
          <w:lang w:eastAsia="zh-CN"/>
        </w:rPr>
        <w:tab/>
      </w:r>
    </w:p>
    <w:p w14:paraId="59D3E2C3">
      <w:pPr>
        <w:keepNext w:val="0"/>
        <w:keepLines w:val="0"/>
        <w:pageBreakBefore w:val="0"/>
        <w:widowControl/>
        <w:numPr>
          <w:ilvl w:val="0"/>
          <w:numId w:val="0"/>
        </w:numPr>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leftChars="0"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rPr>
        <w:t>强化职业责任</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rPr>
        <w:t>不应多转行</w:t>
      </w:r>
    </w:p>
    <w:p w14:paraId="769464C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32B0DFC8">
      <w:pPr>
        <w:keepNext w:val="0"/>
        <w:keepLines w:val="0"/>
        <w:pageBreakBefore w:val="0"/>
        <w:widowControl/>
        <w:numPr>
          <w:ilvl w:val="0"/>
          <w:numId w:val="6"/>
        </w:numPr>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left="425" w:leftChars="0" w:hanging="425"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市场经济条件下，（ ）不违反职业道德规范中关于诚实守信的要求。</w:t>
      </w:r>
    </w:p>
    <w:p w14:paraId="4C5F7C6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通过诚实合法劳动，实现利益最大化</w:t>
      </w:r>
    </w:p>
    <w:p w14:paraId="36E47FD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打进对手内部，增强竞争优势</w:t>
      </w:r>
      <w:r>
        <w:rPr>
          <w:rFonts w:hint="eastAsia" w:ascii="方正楷体_GB2312" w:hAnsi="方正楷体_GB2312" w:eastAsia="方正楷体_GB2312" w:cs="方正楷体_GB2312"/>
          <w:sz w:val="24"/>
          <w:szCs w:val="24"/>
          <w:lang w:eastAsia="zh-CN"/>
        </w:rPr>
        <w:tab/>
      </w:r>
    </w:p>
    <w:p w14:paraId="079814A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根据服务对象来决定是否遵守承诺</w:t>
      </w:r>
      <w:r>
        <w:rPr>
          <w:rFonts w:hint="eastAsia" w:ascii="方正楷体_GB2312" w:hAnsi="方正楷体_GB2312" w:eastAsia="方正楷体_GB2312" w:cs="方正楷体_GB2312"/>
          <w:sz w:val="24"/>
          <w:szCs w:val="24"/>
          <w:lang w:eastAsia="zh-CN"/>
        </w:rPr>
        <w:tab/>
      </w:r>
    </w:p>
    <w:p w14:paraId="57CCDEA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凡有利于增大企业利益的行为就做</w:t>
      </w:r>
    </w:p>
    <w:p w14:paraId="1004924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7F882F47">
      <w:pPr>
        <w:keepNext w:val="0"/>
        <w:keepLines w:val="0"/>
        <w:pageBreakBefore w:val="0"/>
        <w:widowControl/>
        <w:numPr>
          <w:ilvl w:val="0"/>
          <w:numId w:val="6"/>
        </w:numPr>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left="425" w:leftChars="0" w:hanging="425"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在企业的经济活动中，下列选项中的（ ）不是职业道德功能的表现。</w:t>
      </w:r>
    </w:p>
    <w:p w14:paraId="4DAB66A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激励作用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决策能力</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规范行为</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遵纪守法</w:t>
      </w:r>
    </w:p>
    <w:p w14:paraId="39BBBCC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3F90A6CE">
      <w:pPr>
        <w:keepNext w:val="0"/>
        <w:keepLines w:val="0"/>
        <w:pageBreakBefore w:val="0"/>
        <w:widowControl/>
        <w:numPr>
          <w:ilvl w:val="0"/>
          <w:numId w:val="6"/>
        </w:numPr>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left="425" w:leftChars="0" w:hanging="425"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）是企业诚实守信的内在要求。</w:t>
      </w:r>
    </w:p>
    <w:p w14:paraId="1CFE78D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维护企业信誉</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增加职工福利</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p>
    <w:p w14:paraId="725707F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注意经济效益</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开展员工培训</w:t>
      </w:r>
    </w:p>
    <w:p w14:paraId="3DA0EFF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7E006B7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5</w:t>
      </w:r>
      <w:r>
        <w:rPr>
          <w:rFonts w:hint="eastAsia" w:ascii="方正楷体_GB2312" w:hAnsi="方正楷体_GB2312" w:eastAsia="方正楷体_GB2312" w:cs="方正楷体_GB2312"/>
          <w:sz w:val="24"/>
          <w:szCs w:val="24"/>
          <w:lang w:eastAsia="zh-CN"/>
        </w:rPr>
        <w:t>、</w:t>
      </w:r>
      <w:r>
        <w:rPr>
          <w:rFonts w:hint="eastAsia" w:ascii="方正楷体_GB2312" w:hAnsi="方正楷体_GB2312" w:eastAsia="方正楷体_GB2312" w:cs="方正楷体_GB2312"/>
          <w:sz w:val="24"/>
          <w:szCs w:val="24"/>
        </w:rPr>
        <w:t>下列选项中属于企业文化功能的是（ ）。</w:t>
      </w:r>
    </w:p>
    <w:p w14:paraId="572162E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体育锻炼</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整合功能</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歌舞娱乐</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社会交际</w:t>
      </w:r>
    </w:p>
    <w:p w14:paraId="0A185BC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0AE6DE3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职业道德对企业起到（ ）的作用。</w:t>
      </w:r>
    </w:p>
    <w:p w14:paraId="0D92FB4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决定经济效益</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促进决策科学化</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增强竞争力</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树立员工守业意识</w:t>
      </w:r>
    </w:p>
    <w:p w14:paraId="1757EF9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4F2629E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下列选项中，关于职业道德与人的事业成功的关系的正确论述是（ ）。</w:t>
      </w:r>
    </w:p>
    <w:p w14:paraId="5DCE48F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职业道德是人事业成功的重要条件</w:t>
      </w:r>
    </w:p>
    <w:p w14:paraId="3CC926F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职业道德水平高的人肯定能够取得事业的成功</w:t>
      </w:r>
      <w:r>
        <w:rPr>
          <w:rFonts w:hint="eastAsia" w:ascii="方正楷体_GB2312" w:hAnsi="方正楷体_GB2312" w:eastAsia="方正楷体_GB2312" w:cs="方正楷体_GB2312"/>
          <w:sz w:val="24"/>
          <w:szCs w:val="24"/>
          <w:lang w:eastAsia="zh-CN"/>
        </w:rPr>
        <w:tab/>
      </w:r>
    </w:p>
    <w:p w14:paraId="0997DC3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缺乏职业道德的人更容易获得事业的成功</w:t>
      </w:r>
      <w:r>
        <w:rPr>
          <w:rFonts w:hint="eastAsia" w:ascii="方正楷体_GB2312" w:hAnsi="方正楷体_GB2312" w:eastAsia="方正楷体_GB2312" w:cs="方正楷体_GB2312"/>
          <w:sz w:val="24"/>
          <w:szCs w:val="24"/>
          <w:lang w:eastAsia="zh-CN"/>
        </w:rPr>
        <w:tab/>
      </w:r>
    </w:p>
    <w:p w14:paraId="5074A6D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人的事业成功与否与职业道德无关</w:t>
      </w:r>
    </w:p>
    <w:p w14:paraId="124AF55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27788D6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职业道德活动中，对客人做到（ ）是符合语言规范的具体要求的。</w:t>
      </w:r>
    </w:p>
    <w:p w14:paraId="5706168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言语细致，反复介绍</w:t>
      </w:r>
    </w:p>
    <w:p w14:paraId="663FF52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语速要快，不浪费客人时间</w:t>
      </w:r>
      <w:r>
        <w:rPr>
          <w:rFonts w:hint="eastAsia" w:ascii="方正楷体_GB2312" w:hAnsi="方正楷体_GB2312" w:eastAsia="方正楷体_GB2312" w:cs="方正楷体_GB2312"/>
          <w:sz w:val="24"/>
          <w:szCs w:val="24"/>
          <w:lang w:eastAsia="zh-CN"/>
        </w:rPr>
        <w:tab/>
      </w:r>
    </w:p>
    <w:p w14:paraId="00C25F0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用尊称，不用忌语</w:t>
      </w:r>
      <w:r>
        <w:rPr>
          <w:rFonts w:hint="eastAsia" w:ascii="方正楷体_GB2312" w:hAnsi="方正楷体_GB2312" w:eastAsia="方正楷体_GB2312" w:cs="方正楷体_GB2312"/>
          <w:sz w:val="24"/>
          <w:szCs w:val="24"/>
          <w:lang w:eastAsia="zh-CN"/>
        </w:rPr>
        <w:tab/>
      </w:r>
    </w:p>
    <w:p w14:paraId="74E7DF9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语气严肃，维护自尊</w:t>
      </w:r>
    </w:p>
    <w:p w14:paraId="6DADB6E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075EE8B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对待职业和岗位，（ ）并不是爱岗敬业所要求的。</w:t>
      </w:r>
    </w:p>
    <w:p w14:paraId="110C1B2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树立职业理想</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干一行爱一行专一行</w:t>
      </w:r>
    </w:p>
    <w:p w14:paraId="3D40492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遵守企业的规章制度</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一职定终身，不改行</w:t>
      </w:r>
    </w:p>
    <w:p w14:paraId="02595C7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6235F68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下列关于勤劳节俭的论述中，正确的选项是（ ）。</w:t>
      </w:r>
    </w:p>
    <w:p w14:paraId="10E84B4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勤劳一定能使人致富</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勤劳节俭有利于企业持续发展</w:t>
      </w:r>
    </w:p>
    <w:p w14:paraId="3B72038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新时代需要巧干，不需要勤劳</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新时代需要创造，不需要节俭</w:t>
      </w:r>
    </w:p>
    <w:p w14:paraId="4690D6C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6FFD970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部分电路欧姆定律反映了在（ ）的一段电路中，电流与这段电路两端的电压及电阻的关系。</w:t>
      </w:r>
    </w:p>
    <w:p w14:paraId="517F03C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含电源</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不含电源</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含电源和负载</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不含电源和负载</w:t>
      </w:r>
    </w:p>
    <w:p w14:paraId="4B4F64F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432ABE9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电路的作用是实现能量的传输和转换</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信号的（ ）和处理。</w:t>
      </w:r>
    </w:p>
    <w:p w14:paraId="56AD331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连接</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传输</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控制</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传递</w:t>
      </w:r>
    </w:p>
    <w:p w14:paraId="3FFD04D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5854B7B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 ）的一端连在电路中的一点，另一端也同时连在另一点，使每个电阻两端都承受相同的电压，这种联结方式叫做电阻的并联。</w:t>
      </w:r>
    </w:p>
    <w:p w14:paraId="78C1A3C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两个相同电阻</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一大一小电阻</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几个相同大小的电阻</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几个电阻</w:t>
      </w:r>
    </w:p>
    <w:p w14:paraId="2BCF3AA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33C6903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14</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电流流过负载时，负载将电能转换成（ ）。</w:t>
      </w:r>
    </w:p>
    <w:p w14:paraId="0BF27E7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机械能</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热能</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光能</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其他形式的能</w:t>
      </w:r>
    </w:p>
    <w:p w14:paraId="6B5920C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1045CD2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电位是相对量，随参考点的改变而改变，而电压是（ ），不随参考点的改变而改变。</w:t>
      </w:r>
    </w:p>
    <w:p w14:paraId="7290149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衡量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变量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绝对量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相对量</w:t>
      </w:r>
    </w:p>
    <w:p w14:paraId="36F33CC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658A2F1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磁场强度的方向和所在点的（ ）的方向一致。</w:t>
      </w:r>
    </w:p>
    <w:p w14:paraId="60051BA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磁通或磁通量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磁导率</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磁场强度</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磁感应强度</w:t>
      </w:r>
    </w:p>
    <w:p w14:paraId="2BE0392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42E1498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通电直导体在磁场中所受力方向，可以通过（ ）来判断。</w:t>
      </w:r>
    </w:p>
    <w:p w14:paraId="6042679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右手定则</w:t>
      </w:r>
      <w:r>
        <w:rPr>
          <w:rFonts w:hint="eastAsia" w:ascii="方正楷体_GB2312" w:hAnsi="方正楷体_GB2312" w:eastAsia="方正楷体_GB2312" w:cs="方正楷体_GB2312"/>
          <w:sz w:val="24"/>
          <w:szCs w:val="24"/>
          <w:lang w:eastAsia="zh-CN"/>
        </w:rPr>
        <w:t>，</w:t>
      </w:r>
      <w:r>
        <w:rPr>
          <w:rFonts w:hint="eastAsia" w:ascii="方正楷体_GB2312" w:hAnsi="方正楷体_GB2312" w:eastAsia="方正楷体_GB2312" w:cs="方正楷体_GB2312"/>
          <w:sz w:val="24"/>
          <w:szCs w:val="24"/>
        </w:rPr>
        <w:t>左手定则</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楞次定律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右手定则</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左手定则</w:t>
      </w:r>
    </w:p>
    <w:p w14:paraId="0BE95DB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423304B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当线圈中的磁通减小时，感应电流产生的磁通与原磁通方向（ ）。</w:t>
      </w:r>
    </w:p>
    <w:p w14:paraId="5BD26D1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正比</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反比</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相反</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相同</w:t>
      </w:r>
    </w:p>
    <w:p w14:paraId="039B774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67B6BE5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正弦交流电常用的表达方法有（ ）</w:t>
      </w:r>
    </w:p>
    <w:p w14:paraId="54DD62B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解析式表示法</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波形图表示法</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相量表示法</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以上都是</w:t>
      </w:r>
    </w:p>
    <w:p w14:paraId="097D5AD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32A2A71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20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Y-△减压起动是指电动机起动时，把定子绕组联结成Y联结，以降低起动电压，限制起动电流。待电动机起动后，再把定子绕组改成（ ），使电动机全压运行。</w:t>
      </w:r>
    </w:p>
    <w:p w14:paraId="68F1D5F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720" w:firstLineChars="3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YY联结</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Y联结</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△△联结</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△联结</w:t>
      </w:r>
    </w:p>
    <w:p w14:paraId="4E7B330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1AFF38F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21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定子绕组串联电阻的减压起动是指电动机起动时，把电阻串联在电动机定子绕组与电源之间，通过电阻的（ ）作用来降低定子绕组上的起动电压。</w:t>
      </w:r>
    </w:p>
    <w:p w14:paraId="13948B6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截流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分流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分压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截压</w:t>
      </w:r>
    </w:p>
    <w:p w14:paraId="4B1A474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7171E59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22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在供电为短路接地的电网系统中，人体触及外壳带电设备的一点同站立地面一点之间的电位差称为（ ）。</w:t>
      </w:r>
    </w:p>
    <w:p w14:paraId="2AAAF44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单相触电</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两相触电</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接触电压触电</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跨步电压触电</w:t>
      </w:r>
    </w:p>
    <w:p w14:paraId="7F99A6D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755F5E1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23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 ）的工频电流通过人体时，就会有生命危险。</w:t>
      </w:r>
    </w:p>
    <w:p w14:paraId="41DFFAF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0.1m</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1m</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15m</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50m</w:t>
      </w:r>
      <w:r>
        <w:rPr>
          <w:rFonts w:hint="eastAsia" w:ascii="方正楷体_GB2312" w:hAnsi="方正楷体_GB2312" w:eastAsia="方正楷体_GB2312" w:cs="方正楷体_GB2312"/>
          <w:sz w:val="24"/>
          <w:szCs w:val="24"/>
          <w:lang w:eastAsia="zh-CN"/>
        </w:rPr>
        <w:t>A</w:t>
      </w:r>
    </w:p>
    <w:p w14:paraId="0B92494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020D303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24</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机床照明</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移动行灯等设备，使用的安全电压为（ ）。</w:t>
      </w:r>
    </w:p>
    <w:p w14:paraId="1C453B5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9V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12V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24V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36V</w:t>
      </w:r>
    </w:p>
    <w:p w14:paraId="2FF37DD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021AF84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25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高压设备室内不得接近故障点（ ）以内。</w:t>
      </w:r>
    </w:p>
    <w:p w14:paraId="4264B56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1m</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2m</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3m</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4m</w:t>
      </w:r>
    </w:p>
    <w:p w14:paraId="30571C0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788D502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26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导通后二极管两端电压变化很小，锗管约为（ ）。</w:t>
      </w:r>
    </w:p>
    <w:p w14:paraId="0A0F63D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0.5V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0.7V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0.3V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0.1V</w:t>
      </w:r>
    </w:p>
    <w:p w14:paraId="1E94B96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2AD219A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27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晶体管放大区的放大条件为（ ）。</w:t>
      </w:r>
    </w:p>
    <w:p w14:paraId="0A8D6B9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发射结正偏，集电结反偏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发射结反偏或零偏，集电结反偏</w:t>
      </w:r>
    </w:p>
    <w:p w14:paraId="0B6CAF8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发射结和集电结正偏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发射结和集电结反偏</w:t>
      </w:r>
    </w:p>
    <w:p w14:paraId="16A982A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4D09765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28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稳压二极管虽然工作在反向击穿区，但只要（ ）不超过允许值PN结不会过热而损坏。</w:t>
      </w:r>
    </w:p>
    <w:p w14:paraId="517C10A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电压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反向电压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电流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反向电流</w:t>
      </w:r>
    </w:p>
    <w:p w14:paraId="443F3AE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1E7E529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29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当锉刀拉回时，应（ ），以免磨钝锉齿或划伤工件表面。</w:t>
      </w:r>
    </w:p>
    <w:p w14:paraId="745BA5C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轻轻划过</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稍微抬起</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抬起</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拖回</w:t>
      </w:r>
    </w:p>
    <w:p w14:paraId="1AE43B7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04604FC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30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用手电钻钻孔时，要带（ ）穿绝缘鞋。</w:t>
      </w:r>
    </w:p>
    <w:p w14:paraId="00D9A60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口罩</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帽子</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绝缘手套</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眼镜</w:t>
      </w:r>
    </w:p>
    <w:p w14:paraId="0AD96C8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11C3B5A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31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 ）适用于狭长平面以及加工余量不大时的锉削。</w:t>
      </w:r>
    </w:p>
    <w:p w14:paraId="05F396C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顺向锉</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交叉锉</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推锉</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曲面铿削</w:t>
      </w:r>
    </w:p>
    <w:p w14:paraId="3EBC244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25AD49B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32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潮湿场所的电气设备使用时的安全电压为（ ）。</w:t>
      </w:r>
    </w:p>
    <w:p w14:paraId="7D00B20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9V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12V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24V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36V</w:t>
      </w:r>
    </w:p>
    <w:p w14:paraId="56EF29F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63EB360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33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高压设备室外不得接近故障点（ ）以内。</w:t>
      </w:r>
    </w:p>
    <w:p w14:paraId="0267F29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5m</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6m</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7m</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8m</w:t>
      </w:r>
    </w:p>
    <w:p w14:paraId="50C1519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04AD93D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34</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凡工作地点狭窄</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工作人员活动困难，周围有大面积接地导体或金属构架，因而存在高度触电危险的环境以及特别的场所，则使用时的安全电压为（ ）。</w:t>
      </w:r>
    </w:p>
    <w:p w14:paraId="17469AF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9V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12V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24V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36V</w:t>
      </w:r>
    </w:p>
    <w:p w14:paraId="0A2D85D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7E69570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35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下列污染形式中不属于生态破坏的是（ ）。</w:t>
      </w:r>
    </w:p>
    <w:p w14:paraId="047E48F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森林破坏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水土流失</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水源枯竭</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地面沉降</w:t>
      </w:r>
    </w:p>
    <w:p w14:paraId="3429AF4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6773AC8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36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下列电磁污染形式不属于自然的电磁污染的是（ ）。</w:t>
      </w:r>
    </w:p>
    <w:p w14:paraId="19C07AA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火山爆发</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地震</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雷电</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射频电磁污染</w:t>
      </w:r>
    </w:p>
    <w:p w14:paraId="57070A3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7A852C3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37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下列电磁污染形式中不属于人为的电磁污染的是（ ）。</w:t>
      </w:r>
    </w:p>
    <w:p w14:paraId="1F23521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脉冲放电</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电磁场</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射频电磁污染</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磁暴</w:t>
      </w:r>
    </w:p>
    <w:p w14:paraId="2DCB877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4F715AD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38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噪声可分为气体动力噪声，（ ）和电磁噪声。</w:t>
      </w:r>
    </w:p>
    <w:p w14:paraId="5988C33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电力噪声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水噪声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电气噪声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机械噪声</w:t>
      </w:r>
    </w:p>
    <w:p w14:paraId="0F90EDA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3F55EED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39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收音机发出的交流声属于（ ）。</w:t>
      </w:r>
    </w:p>
    <w:p w14:paraId="4D6AA45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机械噪声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气体动力噪声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电磁噪声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电力噪声</w:t>
      </w:r>
    </w:p>
    <w:p w14:paraId="7C649C3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5E6881E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40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下列控制声音传播的措施中（ ）不属于个人防护措施。</w:t>
      </w:r>
    </w:p>
    <w:p w14:paraId="0CC2234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使用耳塞</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使用耳罩</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使用耳棉</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使用隔声罩</w:t>
      </w:r>
    </w:p>
    <w:p w14:paraId="2C55223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3DD233C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41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岗位的质量要求，通常包括操作程序，工作内容，工艺规程及（ ）等。</w:t>
      </w:r>
    </w:p>
    <w:p w14:paraId="33D9E96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工作计划</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工作目的</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参数控制</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工作重点</w:t>
      </w:r>
    </w:p>
    <w:p w14:paraId="3EFD62E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0F0FC22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42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对于每个职工来说，质量管理的主要内容有岗位的质量要求</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质量目标（ ）和质量责任等。</w:t>
      </w:r>
    </w:p>
    <w:p w14:paraId="2EACC48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信息反馈</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质量水平</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质量记录</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质量保证措施</w:t>
      </w:r>
    </w:p>
    <w:p w14:paraId="25F998A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567D373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43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劳动安全卫生管理制度对未成年工给予了特殊的劳动保护，规定严禁一切企业招收未满（ ）的童工。</w:t>
      </w:r>
    </w:p>
    <w:p w14:paraId="0716E42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14周岁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15周岁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16周岁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18周岁</w:t>
      </w:r>
    </w:p>
    <w:p w14:paraId="7BFA635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591E751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44</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劳动者的基本权利包括（ ）等。</w:t>
      </w:r>
    </w:p>
    <w:p w14:paraId="365226C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完成劳动任务</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提高生活水平</w:t>
      </w:r>
    </w:p>
    <w:p w14:paraId="2A342CE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执行劳动安全卫生规程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享有社会保险和福利</w:t>
      </w:r>
    </w:p>
    <w:p w14:paraId="619FD97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3277059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45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若被测电流不超过测量机构的允许值，可将表头直接与负载（ ）。</w:t>
      </w:r>
    </w:p>
    <w:p w14:paraId="6F60B39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正接</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反接</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串联</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并联</w:t>
      </w:r>
    </w:p>
    <w:p w14:paraId="712672F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2CF6253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46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多量程的（ ）是在表内备有可供选择的多种阻值分压器的电压表。</w:t>
      </w:r>
    </w:p>
    <w:p w14:paraId="49EE669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电流表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电阻表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电压表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万用表</w:t>
      </w:r>
    </w:p>
    <w:p w14:paraId="2DD58E6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511DEC2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47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交流电压的量程有10V</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100V</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500V三挡。用毕应将万用表的转换开关转到（ ），以免下次使用不慎而损坏电表。</w:t>
      </w:r>
    </w:p>
    <w:p w14:paraId="5A17854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高电阻挡</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低电阻挡</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低电压挡</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高电压挡</w:t>
      </w:r>
    </w:p>
    <w:p w14:paraId="2F69906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793251B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48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多量程的电压表是在表内备有可供选择的（ ）阻值分压器的电压表。</w:t>
      </w:r>
    </w:p>
    <w:p w14:paraId="35C24F2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一种</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两种</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三种</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多种</w:t>
      </w:r>
    </w:p>
    <w:p w14:paraId="743CCB5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28EDD3B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49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为了提高被测量的精度，在选用仪表时，要尽可能使被测量值在仪表满度值的（ ）。</w:t>
      </w:r>
    </w:p>
    <w:p w14:paraId="42F3AC9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1/2</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1/3</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2/3</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1/4</w:t>
      </w:r>
    </w:p>
    <w:p w14:paraId="4A259D8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2B76BBF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50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测量1Ω以下的电阻，如果要求精度高，应选用（ ）。</w:t>
      </w:r>
    </w:p>
    <w:p w14:paraId="5E757A4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万用表R×10挡</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毫伏表及电流表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惠斯顿电桥</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开尔文电桥</w:t>
      </w:r>
    </w:p>
    <w:p w14:paraId="4C384A3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240F478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51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工厂中进行日常检修时的电工测量，应用最多的是（ ）。</w:t>
      </w:r>
    </w:p>
    <w:p w14:paraId="15BF84B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指示仪表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比较仪器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示波器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电桥</w:t>
      </w:r>
    </w:p>
    <w:p w14:paraId="6314BAA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5D34ACE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52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仪表的准确度等级的表示，是仪表在正常条件下的（ ）的百分数。</w:t>
      </w:r>
    </w:p>
    <w:p w14:paraId="62EB16E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系统误差</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最大误差</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偶然误差</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疏失误差</w:t>
      </w:r>
    </w:p>
    <w:p w14:paraId="2CA1E6D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1D74585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53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电工指示仪表在使用时，通常根据仪表的准确度等级来决定用途，如0.1级和0.2级仪表常用于（ ）</w:t>
      </w:r>
    </w:p>
    <w:p w14:paraId="404162A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标准表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实验室</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工程测量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工业测量</w:t>
      </w:r>
    </w:p>
    <w:p w14:paraId="21850E6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77DB156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54</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电气测量仪表的准确度等级一般不低于（ ）。</w:t>
      </w:r>
    </w:p>
    <w:p w14:paraId="47A23F9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0.1级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0.5级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1.5级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2.5级</w:t>
      </w:r>
    </w:p>
    <w:p w14:paraId="74DC13F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2BA7EF9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55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与仪表连接的电流互感器的准确度等级应不低于（ ）。</w:t>
      </w:r>
    </w:p>
    <w:p w14:paraId="76377D1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0.1级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0.5级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1.5级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2.5级</w:t>
      </w:r>
    </w:p>
    <w:p w14:paraId="0A467C0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3453BC8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56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选择仪表用互感器和仪表的测量范围时，应考虑设备在正常运行条件下，使仪表的指针尽量指在仪表标尺工作部分量程的（ ）以上。</w:t>
      </w:r>
    </w:p>
    <w:p w14:paraId="19FC4E4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1/2</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1/3</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2/3</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1/4</w:t>
      </w:r>
    </w:p>
    <w:p w14:paraId="1BA64EB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58D3641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57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MF30型万用表采用的是（ ）测量机构。</w:t>
      </w:r>
    </w:p>
    <w:p w14:paraId="3A03759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电磁系</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磁电系</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感应系</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电动系</w:t>
      </w:r>
    </w:p>
    <w:p w14:paraId="697293D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54C850F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58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便携式交流电压表，通常采用（ ）测量机构。</w:t>
      </w:r>
    </w:p>
    <w:p w14:paraId="73FA9F8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电动系</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电磁系</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静电系</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磁电系</w:t>
      </w:r>
    </w:p>
    <w:p w14:paraId="6549E38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5704C10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59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在正旋交流电的波形图上，若两个正旋量正交，说明这两个正旋量的相位差是（ ）。</w:t>
      </w:r>
    </w:p>
    <w:p w14:paraId="5ACBC7D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180°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60°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90°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0°</w:t>
      </w:r>
    </w:p>
    <w:p w14:paraId="6294B3A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3B31034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60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测量三相四线制不对称负载的无功电能，应用（ ）。</w:t>
      </w:r>
    </w:p>
    <w:p w14:paraId="0102EC3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具有60°相位差的三相无功电能表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三相有功电能表</w:t>
      </w:r>
    </w:p>
    <w:p w14:paraId="123AF96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具有附加电流线圈的三相无功电能表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单相有功电能表</w:t>
      </w:r>
    </w:p>
    <w:p w14:paraId="6116940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1DF1043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61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对电缆进行直流耐压试验时，其优点之一是避免（ ）对良好绝缘起永久性破坏作用。</w:t>
      </w:r>
    </w:p>
    <w:p w14:paraId="381566F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直流电压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交流低压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交流高压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交流电流</w:t>
      </w:r>
    </w:p>
    <w:p w14:paraId="44381AE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40AB93F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62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一功耗1000W</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电压为180V的负载，应按第（ ）种方案选择功率表量限来测量该负载功率。</w:t>
      </w:r>
    </w:p>
    <w:p w14:paraId="3A456A4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5</w:t>
      </w:r>
      <w:r>
        <w:rPr>
          <w:rFonts w:hint="eastAsia" w:ascii="方正楷体_GB2312" w:hAnsi="方正楷体_GB2312" w:eastAsia="方正楷体_GB2312" w:cs="方正楷体_GB2312"/>
          <w:sz w:val="24"/>
          <w:szCs w:val="24"/>
          <w:lang w:eastAsia="zh-CN"/>
        </w:rPr>
        <w:t xml:space="preserve">A. </w:t>
      </w:r>
      <w:r>
        <w:rPr>
          <w:rFonts w:hint="eastAsia" w:ascii="方正楷体_GB2312" w:hAnsi="方正楷体_GB2312" w:eastAsia="方正楷体_GB2312" w:cs="方正楷体_GB2312"/>
          <w:sz w:val="24"/>
          <w:szCs w:val="24"/>
        </w:rPr>
        <w:t>150V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5</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,300V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10</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,150V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10</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,300V</w:t>
      </w:r>
    </w:p>
    <w:p w14:paraId="41383A7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7AD880D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63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对交流电器而言，若操作频率过高会导致（ ）。</w:t>
      </w:r>
    </w:p>
    <w:p w14:paraId="21E011F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铁心过热</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线圈过热</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触头过热</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触头烧毛</w:t>
      </w:r>
    </w:p>
    <w:p w14:paraId="7FB24DB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5AB5160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64</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修理变压器时，若保持额定电压不变，而一次绕组匝数比原来少了一些，则变压器的空载电流与原来相比（ ）。</w:t>
      </w:r>
    </w:p>
    <w:p w14:paraId="6F08E51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增大一些</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减少一些</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不变</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以上三者均可能</w:t>
      </w:r>
    </w:p>
    <w:p w14:paraId="1F2E85E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4F02E86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rPr>
        <w:t>65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变压器绕组若采用交叠式放置，为了绝缘方便，一般在靠近上下磁轭的位置安放（ ）</w:t>
      </w:r>
      <w:r>
        <w:rPr>
          <w:rFonts w:hint="eastAsia" w:ascii="方正楷体_GB2312" w:hAnsi="方正楷体_GB2312" w:eastAsia="方正楷体_GB2312" w:cs="方正楷体_GB2312"/>
          <w:sz w:val="24"/>
          <w:szCs w:val="24"/>
          <w:lang w:eastAsia="zh-CN"/>
        </w:rPr>
        <w:t>。</w:t>
      </w:r>
    </w:p>
    <w:p w14:paraId="11C5CE9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低压绕组</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高压绕组</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中压绕组</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以上三者均可</w:t>
      </w:r>
    </w:p>
    <w:p w14:paraId="3A52B1F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091DDD9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66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变压器的短路试验是在（ ）的条件下进行的。</w:t>
      </w:r>
    </w:p>
    <w:p w14:paraId="163BDD5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低压侧开路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高压侧开路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低压侧短路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高压侧短路</w:t>
      </w:r>
    </w:p>
    <w:p w14:paraId="5B23341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01429BF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67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直流发电机在原动机的拖动下旋转，电枢切割磁力线产生（ ）。</w:t>
      </w:r>
    </w:p>
    <w:p w14:paraId="20FF447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正弦交流电</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非正弦交流电</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直流电</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脉动直流电</w:t>
      </w:r>
    </w:p>
    <w:p w14:paraId="0E175FE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7CF33FC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68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直流电机的换向极绕组必须与电枢绕组（ ）。</w:t>
      </w:r>
    </w:p>
    <w:p w14:paraId="24E1CBA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串联</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并联</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垂直</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磁通方向相反</w:t>
      </w:r>
    </w:p>
    <w:p w14:paraId="3DB7126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4A752B1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69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并励直流电动机的机械特性为硬特性，当电动机负载增大时，其转速（ ）。</w:t>
      </w:r>
    </w:p>
    <w:p w14:paraId="7774EED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下降很多</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下降很少</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不变</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略有上升</w:t>
      </w:r>
    </w:p>
    <w:p w14:paraId="5BC25AD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3064CEA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70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已知某台电动机电磁功率为9kW，转速为n=900r/min，则其电磁转矩为（ ）N·m。</w:t>
      </w:r>
    </w:p>
    <w:p w14:paraId="7DF42AF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10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30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100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300/π</w:t>
      </w:r>
    </w:p>
    <w:p w14:paraId="5E26A88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76B6972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71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在三相绕线转子异步电动机的各个起动过程中，频敏变阻器的等效阻抗变化趋势（ ）</w:t>
      </w:r>
      <w:r>
        <w:rPr>
          <w:rFonts w:hint="eastAsia" w:ascii="方正楷体_GB2312" w:hAnsi="方正楷体_GB2312" w:eastAsia="方正楷体_GB2312" w:cs="方正楷体_GB2312"/>
          <w:sz w:val="24"/>
          <w:szCs w:val="24"/>
          <w:lang w:eastAsia="zh-CN"/>
        </w:rPr>
        <w:t>。</w:t>
      </w:r>
    </w:p>
    <w:p w14:paraId="28E1076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由小变大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由大变小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恒定不变</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由小变大或由大变小</w:t>
      </w:r>
    </w:p>
    <w:p w14:paraId="2A4C1B0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3B10650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72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三相异步电动机温升过高或冒烟，造成故障的可能原因是（ ）。</w:t>
      </w:r>
    </w:p>
    <w:p w14:paraId="49FC983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绕组受潮</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转子不平衡</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定子</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绕组相擦</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三相异步电动机断相运行</w:t>
      </w:r>
    </w:p>
    <w:p w14:paraId="259C1C1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6FF206A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73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三相异步电动机在适当范围内增加转子电阻时，其最大转矩（ ）。</w:t>
      </w:r>
    </w:p>
    <w:p w14:paraId="50B1EC3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增大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减小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不变</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不一定</w:t>
      </w:r>
    </w:p>
    <w:p w14:paraId="1D5E584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1D273DA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74</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三相异步电动机再生制动时，其转差率为（ ）。</w:t>
      </w:r>
    </w:p>
    <w:p w14:paraId="0DE212B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小于0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等于0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等于1</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大于1</w:t>
      </w:r>
    </w:p>
    <w:p w14:paraId="340CC6F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58D4ADD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75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与固有机械特性相比，人为机械特性上的最大电磁转矩减少，临界转差率不变，则该人为机械特性是异步电动机的（ ）。</w:t>
      </w:r>
    </w:p>
    <w:p w14:paraId="2628914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定子串接电阻的人为机械特性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转子串接电阻的人为机械特性</w:t>
      </w:r>
    </w:p>
    <w:p w14:paraId="3B85C48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降低电压的人为机械特性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提高电压的人为机械特性</w:t>
      </w:r>
    </w:p>
    <w:p w14:paraId="6A0681D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63A1BF3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76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一台三相笼型异步电动机的数据为 ⁤P_{N}=20kW,U_{N}=380V, \lambda _{r}=⁤ 1. 15，K=6，定子绕组为三角形联结。当拖动额定负载转矩起动时，电源容量为600kW，最好的起动方法是（ ）。</w:t>
      </w:r>
    </w:p>
    <w:p w14:paraId="6AA384B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直接起动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Y-△减压起动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串电阻减压起动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自耦变压器减压起动</w:t>
      </w:r>
    </w:p>
    <w:p w14:paraId="2F2E0AA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0C59677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77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在大修后，若将摇臂升降电动机的三相电源相序反接了，则（ ），采取换相方法可以解决。</w:t>
      </w:r>
    </w:p>
    <w:p w14:paraId="0B00D68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电动机不转动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使上升和下降颠倒</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会发生短路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以上三者均可</w:t>
      </w:r>
    </w:p>
    <w:p w14:paraId="5BE4D82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7A5F778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78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将变压器的一次绕组接交流电源，二次绕组开路，这种运行方式称为变压器（ ）运行</w:t>
      </w:r>
      <w:r>
        <w:rPr>
          <w:rFonts w:hint="eastAsia" w:ascii="方正楷体_GB2312" w:hAnsi="方正楷体_GB2312" w:eastAsia="方正楷体_GB2312" w:cs="方正楷体_GB2312"/>
          <w:sz w:val="24"/>
          <w:szCs w:val="24"/>
          <w:lang w:eastAsia="zh-CN"/>
        </w:rPr>
        <w:t>。</w:t>
      </w:r>
    </w:p>
    <w:p w14:paraId="573D11D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空载</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过载</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满载</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负载</w:t>
      </w:r>
    </w:p>
    <w:p w14:paraId="7DB4512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5D5125E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79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三相异步电动机多处控制时，若其中一个停止按钮接触不良，则电动机（ ）。</w:t>
      </w:r>
    </w:p>
    <w:p w14:paraId="0BF56E7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会过电流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会过电压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不能停止</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不能起动</w:t>
      </w:r>
    </w:p>
    <w:p w14:paraId="16FC859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69BEDE8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80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自耦变压器减压起动适用于（ ）的三相笼型异步电动机。</w:t>
      </w:r>
    </w:p>
    <w:p w14:paraId="7C1F9A6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不需任何接法</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△联结</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Y联结</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Y联结或△联结</w:t>
      </w:r>
    </w:p>
    <w:p w14:paraId="6AB280E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4A05BFF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81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双速电动机属于（ ）调速方法。</w:t>
      </w:r>
    </w:p>
    <w:p w14:paraId="54E5690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变频</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改变转差率</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改变磁极对数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降低电压</w:t>
      </w:r>
    </w:p>
    <w:p w14:paraId="5D667DE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4886B8E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82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三相异步电动机回馈制动时，将机械能转换为电能，回馈到（ ）。</w:t>
      </w:r>
    </w:p>
    <w:p w14:paraId="494292A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负载</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转子绕组</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定子绕组</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电网</w:t>
      </w:r>
    </w:p>
    <w:p w14:paraId="41E55CD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03A8531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83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三相异步电动机制下列起动方法中，性能最好的是（ ）。</w:t>
      </w:r>
    </w:p>
    <w:p w14:paraId="1AB303B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直接起动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减压起动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变频起动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变极起动</w:t>
      </w:r>
    </w:p>
    <w:p w14:paraId="279CD1F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2E09080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84</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绕线转子异步电动机转子串电阻起动时，随着转速的升高，要忍段（ ）起动电阻。</w:t>
      </w:r>
    </w:p>
    <w:p w14:paraId="6F5EAD6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切除</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投入</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串联</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并联</w:t>
      </w:r>
    </w:p>
    <w:p w14:paraId="0A521A5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6B93AA6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85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电磁抱闸制动一般用于（ ）的场合。</w:t>
      </w:r>
    </w:p>
    <w:p w14:paraId="3B7D10B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迅速停机</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迅速反转</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限速下放重物</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调节电动机速度</w:t>
      </w:r>
    </w:p>
    <w:p w14:paraId="700E857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156187B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86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三相异步电动机的位置控制电路中，除了用行程开关外，还可用（ ）。</w:t>
      </w:r>
    </w:p>
    <w:p w14:paraId="0F2205A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断路器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速度继电器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热继电器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光敏传感器</w:t>
      </w:r>
    </w:p>
    <w:p w14:paraId="29B53F8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5DCCCE4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87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异步电动机空载试验时，其试验时间不少于（ ）h。</w:t>
      </w:r>
    </w:p>
    <w:p w14:paraId="6115861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0.5</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1.0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2.0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2.5</w:t>
      </w:r>
    </w:p>
    <w:p w14:paraId="390012B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7DF9534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88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三相异步电动机能耗制动时，（ ）中通入直流电。</w:t>
      </w:r>
    </w:p>
    <w:p w14:paraId="1B2DEB1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转子绕组</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定子绕组</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励磁绕组</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补偿绕组</w:t>
      </w:r>
    </w:p>
    <w:p w14:paraId="57D3A64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7D9FE5E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89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三相异步电机的最大电磁转矩Tm大小与转子（ ）的值无关。</w:t>
      </w:r>
    </w:p>
    <w:p w14:paraId="47A7463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电压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电流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电阻</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以上三者</w:t>
      </w:r>
    </w:p>
    <w:p w14:paraId="24D56E7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76C8289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90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晶闸管的导通角θ越大，则触发延迟角α（ ）。</w:t>
      </w:r>
    </w:p>
    <w:p w14:paraId="4EF448D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越大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减小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不变</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不确定</w:t>
      </w:r>
    </w:p>
    <w:p w14:paraId="3130EA5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64746C8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91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三相异步电动机采用Y-△减压起动时，其起动电流是全压起动时电流的（ ）。</w:t>
      </w:r>
    </w:p>
    <w:p w14:paraId="1247554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1/3</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1/</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1 /</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倍数不能确定</w:t>
      </w:r>
    </w:p>
    <w:p w14:paraId="5B5AA8A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5F77656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92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变压器的最高效率发生在其负载系数为（ ）时。</w:t>
      </w:r>
    </w:p>
    <w:p w14:paraId="6FFD11A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β=0.2</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β=0.6</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β=1</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β&gt;1</w:t>
      </w:r>
    </w:p>
    <w:p w14:paraId="1FEEBCA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71F2A29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93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三相异步电动机空载运行时，其转差率为（ ）。</w:t>
      </w:r>
    </w:p>
    <w:p w14:paraId="70F1216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r>
        <w:rPr>
          <w:rFonts w:hint="eastAsia"/>
          <w:sz w:val="24"/>
          <w:szCs w:val="24"/>
        </w:rPr>
        <w:t>s</w:t>
      </w:r>
      <w:r>
        <w:rPr>
          <w:rFonts w:hint="eastAsia" w:ascii="方正楷体_GB2312" w:hAnsi="方正楷体_GB2312" w:eastAsia="方正楷体_GB2312" w:cs="方正楷体_GB2312"/>
          <w:sz w:val="24"/>
          <w:szCs w:val="24"/>
        </w:rPr>
        <w:t>=0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r>
        <w:rPr>
          <w:rFonts w:hint="eastAsia"/>
          <w:sz w:val="24"/>
          <w:szCs w:val="24"/>
        </w:rPr>
        <w:t>s</w:t>
      </w:r>
      <w:r>
        <w:rPr>
          <w:rFonts w:hint="eastAsia" w:ascii="方正楷体_GB2312" w:hAnsi="方正楷体_GB2312" w:eastAsia="方正楷体_GB2312" w:cs="方正楷体_GB2312"/>
          <w:sz w:val="24"/>
          <w:szCs w:val="24"/>
        </w:rPr>
        <w:t>=0. 004~0. 007</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lang w:val="en-US" w:eastAsia="zh-CN"/>
        </w:rPr>
        <w:t xml:space="preserve"> </w:t>
      </w:r>
      <w:r>
        <w:rPr>
          <w:rFonts w:hint="eastAsia"/>
          <w:sz w:val="24"/>
          <w:szCs w:val="24"/>
        </w:rPr>
        <w:t>s</w:t>
      </w:r>
      <w:r>
        <w:rPr>
          <w:rFonts w:hint="eastAsia" w:ascii="方正楷体_GB2312" w:hAnsi="方正楷体_GB2312" w:eastAsia="方正楷体_GB2312" w:cs="方正楷体_GB2312"/>
          <w:sz w:val="24"/>
          <w:szCs w:val="24"/>
        </w:rPr>
        <w:t>=0. 01~0. 07</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lang w:val="en-US" w:eastAsia="zh-CN"/>
        </w:rPr>
        <w:t xml:space="preserve"> </w:t>
      </w:r>
      <w:r>
        <w:rPr>
          <w:rFonts w:hint="eastAsia"/>
          <w:sz w:val="24"/>
          <w:szCs w:val="24"/>
        </w:rPr>
        <w:t>s</w:t>
      </w:r>
      <w:r>
        <w:rPr>
          <w:rFonts w:hint="eastAsia" w:ascii="方正楷体_GB2312" w:hAnsi="方正楷体_GB2312" w:eastAsia="方正楷体_GB2312" w:cs="方正楷体_GB2312"/>
          <w:sz w:val="24"/>
          <w:szCs w:val="24"/>
        </w:rPr>
        <w:t>=1</w:t>
      </w:r>
    </w:p>
    <w:p w14:paraId="5924C89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7C615C0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94</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三端集成稳压7812的作用是（ ）。</w:t>
      </w:r>
    </w:p>
    <w:p w14:paraId="7D40559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串联型稳压电路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并联型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开关型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稳压型</w:t>
      </w:r>
    </w:p>
    <w:p w14:paraId="57DBF7F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3AF6CAB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95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电子计数器是指能完成（ ）等功能电子测量仪器的通称。</w:t>
      </w:r>
    </w:p>
    <w:p w14:paraId="2D0C45E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频率测量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时间测量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计数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以上都是</w:t>
      </w:r>
    </w:p>
    <w:p w14:paraId="3E70EB3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33C104B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96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增量型光电编码器通常的通道输出信号包括（ ）。</w:t>
      </w:r>
    </w:p>
    <w:p w14:paraId="502C35D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相</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相</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Z相</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以上都是</w:t>
      </w:r>
    </w:p>
    <w:p w14:paraId="53C181B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345D07E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97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小容量晶闸管调速器电路的主电路采用（ ），直接由220V交流电源供电。</w:t>
      </w:r>
    </w:p>
    <w:p w14:paraId="53F2880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单相半波可控整流电路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单相全波可控整流电路</w:t>
      </w:r>
    </w:p>
    <w:p w14:paraId="09626C2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单相桥式半控整流电路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三相半波可控整流电路</w:t>
      </w:r>
    </w:p>
    <w:p w14:paraId="4F9ED71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0DD9E3A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98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避雷针是用来防止（ ）。</w:t>
      </w:r>
    </w:p>
    <w:p w14:paraId="22BCD14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感应雷</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直击雷</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雷电波</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其他雷</w:t>
      </w:r>
    </w:p>
    <w:p w14:paraId="036E866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28776A9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99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同频率而额定转速不同的四台电动机，其中空载电流最小的是（ ）。</w:t>
      </w:r>
    </w:p>
    <w:p w14:paraId="05CFE04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736r/min</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980r/min</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1460r/min</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rPr>
        <w:t>2970r/min</w:t>
      </w:r>
    </w:p>
    <w:p w14:paraId="3EE6CE4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3DDB962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100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M7130型平面磨床控制电路中的两个热继电器常闭触点的连接方法是（ ）。</w:t>
      </w:r>
    </w:p>
    <w:p w14:paraId="7B39373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并联</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串联</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混联</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独立</w:t>
      </w:r>
    </w:p>
    <w:p w14:paraId="0145C16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0564C92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101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M7130型平面磨床中电磁吸盘吸力不足的原因之一是（ ）。</w:t>
      </w:r>
    </w:p>
    <w:p w14:paraId="7CF359E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电磁吸盘的线圈内有匝间短路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电磁吸盘的线圈内有开路点</w:t>
      </w:r>
    </w:p>
    <w:p w14:paraId="778480C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整流变压器开路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整流变压器短路</w:t>
      </w:r>
    </w:p>
    <w:p w14:paraId="6451F7B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03F802C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102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M7130型平面磨床中，电磁吸盘退磁不好使工件取下困难，但退磁电路正常，退磁电压也正常，则需要检查和调整（ ）。</w:t>
      </w:r>
    </w:p>
    <w:p w14:paraId="5541075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outlineLvl w:val="0"/>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bookmarkStart w:id="20" w:name="_Toc1488"/>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退磁功率</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退磁频率</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退磁电流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退磁时间</w:t>
      </w:r>
      <w:bookmarkEnd w:id="20"/>
    </w:p>
    <w:p w14:paraId="2FE664C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181A674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103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M7130型平面磨床控制电路中导线截面积最细的是（ ）。</w:t>
      </w:r>
    </w:p>
    <w:p w14:paraId="0B9E999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连接砂轮电动机M1的导线</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连接电源开关QS1的导线</w:t>
      </w:r>
    </w:p>
    <w:p w14:paraId="7AFF94A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连接电磁吸盘YH的导线</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连接冷却泵电动机M2的导线</w:t>
      </w:r>
    </w:p>
    <w:p w14:paraId="4C7CFD0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5B223EB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104</w:t>
      </w:r>
      <w:r>
        <w:rPr>
          <w:rFonts w:hint="eastAsia" w:ascii="方正楷体_GB2312" w:hAnsi="方正楷体_GB2312" w:eastAsia="方正楷体_GB2312" w:cs="方正楷体_GB2312"/>
          <w:sz w:val="24"/>
          <w:szCs w:val="24"/>
          <w:lang w:eastAsia="zh-CN"/>
        </w:rPr>
        <w:t>. C</w:t>
      </w:r>
      <w:r>
        <w:rPr>
          <w:rFonts w:hint="eastAsia" w:ascii="方正楷体_GB2312" w:hAnsi="方正楷体_GB2312" w:eastAsia="方正楷体_GB2312" w:cs="方正楷体_GB2312"/>
          <w:sz w:val="24"/>
          <w:szCs w:val="24"/>
        </w:rPr>
        <w:t>6150型卧式车床的照明灯为了保证人身安全，配线时要（ ）。</w:t>
      </w:r>
    </w:p>
    <w:p w14:paraId="0A04103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保护接地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不接地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保护接零</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装漏电保护器</w:t>
      </w:r>
    </w:p>
    <w:p w14:paraId="5558D96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1C6BF73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105</w:t>
      </w:r>
      <w:r>
        <w:rPr>
          <w:rFonts w:hint="eastAsia" w:ascii="方正楷体_GB2312" w:hAnsi="方正楷体_GB2312" w:eastAsia="方正楷体_GB2312" w:cs="方正楷体_GB2312"/>
          <w:sz w:val="24"/>
          <w:szCs w:val="24"/>
          <w:lang w:eastAsia="zh-CN"/>
        </w:rPr>
        <w:t>. C</w:t>
      </w:r>
      <w:r>
        <w:rPr>
          <w:rFonts w:hint="eastAsia" w:ascii="方正楷体_GB2312" w:hAnsi="方正楷体_GB2312" w:eastAsia="方正楷体_GB2312" w:cs="方正楷体_GB2312"/>
          <w:sz w:val="24"/>
          <w:szCs w:val="24"/>
        </w:rPr>
        <w:t>6150型卧式车床（ ）的正</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反转控制电路具有三位置门动复位开关的互锁功能。</w:t>
      </w:r>
    </w:p>
    <w:p w14:paraId="745380E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冷却液电动机</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主轴电动机</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快速移动电动机</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润滑油泵电动机</w:t>
      </w:r>
    </w:p>
    <w:p w14:paraId="65DE852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6CCFF14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106</w:t>
      </w:r>
      <w:r>
        <w:rPr>
          <w:rFonts w:hint="eastAsia" w:ascii="方正楷体_GB2312" w:hAnsi="方正楷体_GB2312" w:eastAsia="方正楷体_GB2312" w:cs="方正楷体_GB2312"/>
          <w:sz w:val="24"/>
          <w:szCs w:val="24"/>
          <w:lang w:eastAsia="zh-CN"/>
        </w:rPr>
        <w:t>. C</w:t>
      </w:r>
      <w:r>
        <w:rPr>
          <w:rFonts w:hint="eastAsia" w:ascii="方正楷体_GB2312" w:hAnsi="方正楷体_GB2312" w:eastAsia="方正楷体_GB2312" w:cs="方正楷体_GB2312"/>
          <w:sz w:val="24"/>
          <w:szCs w:val="24"/>
        </w:rPr>
        <w:t>6150型卧式车床控制电路中照明灯的额定电压是（ ）。</w:t>
      </w:r>
    </w:p>
    <w:p w14:paraId="1D92086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交流10V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交流24V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交流30V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交流6V</w:t>
      </w:r>
    </w:p>
    <w:p w14:paraId="0AFA512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44E5129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107</w:t>
      </w:r>
      <w:r>
        <w:rPr>
          <w:rFonts w:hint="eastAsia" w:ascii="方正楷体_GB2312" w:hAnsi="方正楷体_GB2312" w:eastAsia="方正楷体_GB2312" w:cs="方正楷体_GB2312"/>
          <w:sz w:val="24"/>
          <w:szCs w:val="24"/>
          <w:lang w:eastAsia="zh-CN"/>
        </w:rPr>
        <w:t>. C</w:t>
      </w:r>
      <w:r>
        <w:rPr>
          <w:rFonts w:hint="eastAsia" w:ascii="方正楷体_GB2312" w:hAnsi="方正楷体_GB2312" w:eastAsia="方正楷体_GB2312" w:cs="方正楷体_GB2312"/>
          <w:sz w:val="24"/>
          <w:szCs w:val="24"/>
        </w:rPr>
        <w:t>6150型卧式车床主轴电动机反转</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电磁离合器Y</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1通电时主轴的转向为（ ）。</w:t>
      </w:r>
    </w:p>
    <w:p w14:paraId="56DC527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正转</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反转</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高速</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低速</w:t>
      </w:r>
    </w:p>
    <w:p w14:paraId="557CDE3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2DF7FF1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108</w:t>
      </w:r>
      <w:r>
        <w:rPr>
          <w:rFonts w:hint="eastAsia" w:ascii="方正楷体_GB2312" w:hAnsi="方正楷体_GB2312" w:eastAsia="方正楷体_GB2312" w:cs="方正楷体_GB2312"/>
          <w:sz w:val="24"/>
          <w:szCs w:val="24"/>
          <w:lang w:eastAsia="zh-CN"/>
        </w:rPr>
        <w:t>. C</w:t>
      </w:r>
      <w:r>
        <w:rPr>
          <w:rFonts w:hint="eastAsia" w:ascii="方正楷体_GB2312" w:hAnsi="方正楷体_GB2312" w:eastAsia="方正楷体_GB2312" w:cs="方正楷体_GB2312"/>
          <w:sz w:val="24"/>
          <w:szCs w:val="24"/>
        </w:rPr>
        <w:t>6150型卧式车床主轴电动机通过（ ）控制正</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反转。</w:t>
      </w:r>
    </w:p>
    <w:p w14:paraId="0AEB048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手柄</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接触器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断路器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热继电器</w:t>
      </w:r>
    </w:p>
    <w:p w14:paraId="7D0A15B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13B6F19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109</w:t>
      </w:r>
      <w:r>
        <w:rPr>
          <w:rFonts w:hint="eastAsia" w:ascii="方正楷体_GB2312" w:hAnsi="方正楷体_GB2312" w:eastAsia="方正楷体_GB2312" w:cs="方正楷体_GB2312"/>
          <w:sz w:val="24"/>
          <w:szCs w:val="24"/>
          <w:lang w:eastAsia="zh-CN"/>
        </w:rPr>
        <w:t>. C</w:t>
      </w:r>
      <w:r>
        <w:rPr>
          <w:rFonts w:hint="eastAsia" w:ascii="方正楷体_GB2312" w:hAnsi="方正楷体_GB2312" w:eastAsia="方正楷体_GB2312" w:cs="方正楷体_GB2312"/>
          <w:sz w:val="24"/>
          <w:szCs w:val="24"/>
        </w:rPr>
        <w:t>6150型卧式车床控制电路中的中间继电器K</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1和K</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2常闭融点故障时会造成（ ）。</w:t>
      </w:r>
    </w:p>
    <w:p w14:paraId="2A16DCE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主轴无制动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主轴电动机不能起动</w:t>
      </w:r>
      <w:r>
        <w:rPr>
          <w:rFonts w:hint="eastAsia" w:ascii="方正楷体_GB2312" w:hAnsi="方正楷体_GB2312" w:eastAsia="方正楷体_GB2312" w:cs="方正楷体_GB2312"/>
          <w:sz w:val="24"/>
          <w:szCs w:val="24"/>
          <w:lang w:val="en-US" w:eastAsia="zh-CN"/>
        </w:rPr>
        <w:t xml:space="preserve">    </w:t>
      </w:r>
    </w:p>
    <w:p w14:paraId="5E827ED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润滑油泵电动机不能起动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冷却液电动机不能起动</w:t>
      </w:r>
    </w:p>
    <w:p w14:paraId="10E2FC4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4070849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110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Z3040型摇臂钻床主电路中有4台电动机，用了（ ）个接触器。</w:t>
      </w:r>
    </w:p>
    <w:p w14:paraId="56A2E01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6</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5</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4</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3</w:t>
      </w:r>
    </w:p>
    <w:p w14:paraId="019D795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429BD2F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111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Z3040型摇臂钻床的摇臂升降电动机由按钮和接触器构成的（ ）控制电路来控制。</w:t>
      </w:r>
    </w:p>
    <w:p w14:paraId="58B31FF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单向起动停止</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正反转点动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rPr>
        <w:t>Y-△起动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减压起动</w:t>
      </w:r>
    </w:p>
    <w:p w14:paraId="14CF08C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7C1F447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112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Z3040型摇臂钻床中液压泵电动机的正</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反转具有（ ）功能。</w:t>
      </w:r>
    </w:p>
    <w:p w14:paraId="5394654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接触器互锁</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双重互锁</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按钮互锁</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电磁阀互锁</w:t>
      </w:r>
    </w:p>
    <w:p w14:paraId="2991A49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397B32E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113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Z3040型摇臂钻床电气控制的配线导线截面积最大的是（ ）。</w:t>
      </w:r>
    </w:p>
    <w:p w14:paraId="428B0B3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主轴电动机</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摇臂升降电动机</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液压泵电动机</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冷却泵电动机</w:t>
      </w:r>
    </w:p>
    <w:p w14:paraId="13860C5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743A8BA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114</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Z3040型摇臂钻床的摇臂不能升降的原因是摇臂松开后KM2回路不通时，应（ ）。</w:t>
      </w:r>
    </w:p>
    <w:p w14:paraId="6DF03C8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调整行程开关SQ2位置</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重接电源相序</w:t>
      </w:r>
      <w:r>
        <w:rPr>
          <w:rFonts w:hint="eastAsia" w:ascii="方正楷体_GB2312" w:hAnsi="方正楷体_GB2312" w:eastAsia="方正楷体_GB2312" w:cs="方正楷体_GB2312"/>
          <w:sz w:val="24"/>
          <w:szCs w:val="24"/>
          <w:lang w:val="en-US" w:eastAsia="zh-CN"/>
        </w:rPr>
        <w:t xml:space="preserve">    </w:t>
      </w:r>
    </w:p>
    <w:p w14:paraId="786E429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更换液压泵</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调整速度继电器位置</w:t>
      </w:r>
    </w:p>
    <w:p w14:paraId="33FE098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658A61F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115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光敏开关按结构可分为（ ）</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放大器内藏型和电源内藏型三类。</w:t>
      </w:r>
    </w:p>
    <w:p w14:paraId="4CEC424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放大器组合型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放大器分离型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电源分离型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放大器集成型</w:t>
      </w:r>
    </w:p>
    <w:p w14:paraId="2A25325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5E1F5A8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116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光敏开关的接收器根据所接收到的光线强弱对目标物体实现探测，产生（ ）。</w:t>
      </w:r>
    </w:p>
    <w:p w14:paraId="3B13D81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开关信号</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压力信号</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警示信号</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频率信号</w:t>
      </w:r>
    </w:p>
    <w:p w14:paraId="52E50AA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4DC135D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117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接近开关的图形符号中，其菱形部分与常开触点部分用（ ）相连。</w:t>
      </w:r>
    </w:p>
    <w:p w14:paraId="4C0620F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虚线</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实线</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双虚线</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双实线</w:t>
      </w:r>
    </w:p>
    <w:p w14:paraId="385924D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286DD1E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118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选用接近开关时应注意对工作电压</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负载电流</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响应频率</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 ）等各项指标的要求。</w:t>
      </w:r>
    </w:p>
    <w:p w14:paraId="5A1E1F6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检测距离</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检测功率</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检测电流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工作速度</w:t>
      </w:r>
    </w:p>
    <w:p w14:paraId="3D378D2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032E5FC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119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当检测远距离的物体时，应优先选用（ ）光敏开关。</w:t>
      </w:r>
    </w:p>
    <w:p w14:paraId="5FEC0F3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光纤式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槽式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对射式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漫反射式</w:t>
      </w:r>
    </w:p>
    <w:p w14:paraId="750C47F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1F8FAB1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120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当检测体为（ ）时，应选用高频振荡型接近开关。</w:t>
      </w:r>
    </w:p>
    <w:p w14:paraId="304FD5B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透明材料</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不透明材料</w:t>
      </w:r>
      <w:r>
        <w:rPr>
          <w:rFonts w:hint="eastAsia" w:ascii="方正楷体_GB2312" w:hAnsi="方正楷体_GB2312" w:eastAsia="方正楷体_GB2312" w:cs="方正楷体_GB2312"/>
          <w:sz w:val="24"/>
          <w:szCs w:val="24"/>
          <w:lang w:val="en-US" w:eastAsia="zh-CN"/>
        </w:rPr>
        <w:t xml:space="preserve">    C</w:t>
      </w:r>
      <w:r>
        <w:rPr>
          <w:rFonts w:hint="eastAsia" w:ascii="方正楷体_GB2312" w:hAnsi="方正楷体_GB2312" w:eastAsia="方正楷体_GB2312" w:cs="方正楷体_GB2312"/>
          <w:sz w:val="24"/>
          <w:szCs w:val="24"/>
        </w:rPr>
        <w:t>金属材料</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非金属材料</w:t>
      </w:r>
    </w:p>
    <w:p w14:paraId="29AC7B2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433F4FD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121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高频振荡电感式接近开关的感应头附近有金属物体接近时，接近开关（ ）。</w:t>
      </w:r>
    </w:p>
    <w:p w14:paraId="7C1DB30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涡流损耗减少</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无信号输出</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振荡电路工作</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振荡减弱或停止</w:t>
      </w:r>
    </w:p>
    <w:p w14:paraId="3DAE082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2C8A73F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122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磁性开关的图形符号中，其菱形部分与常开触点部分用（ ）相连。</w:t>
      </w:r>
    </w:p>
    <w:p w14:paraId="74A1012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虚线</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实线</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双虚线</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双实线</w:t>
      </w:r>
    </w:p>
    <w:p w14:paraId="295CC71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5DD22C6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123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磁性开关中的干簧管是利用（ ）来控制的一种开关元件。</w:t>
      </w:r>
    </w:p>
    <w:p w14:paraId="05A86B2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磁场信号</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压力信号</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温度信号</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电流信号</w:t>
      </w:r>
    </w:p>
    <w:p w14:paraId="7161543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1BEF670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124</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磁性开关在使用时要注意磁铁与（ ）之间的有效距离在10mm左右。</w:t>
      </w:r>
    </w:p>
    <w:p w14:paraId="364E26A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干簧管</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磁铁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触点</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外壳</w:t>
      </w:r>
    </w:p>
    <w:p w14:paraId="08ACA76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6D4A7B1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125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磁性开关用于（ ）场所时应选金属材质的器件。</w:t>
      </w:r>
    </w:p>
    <w:p w14:paraId="216DCE8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化工企业</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真空低压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强酸强碱</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高温高压</w:t>
      </w:r>
    </w:p>
    <w:p w14:paraId="5F0C03D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30342AD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126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可以根据增量式光电编码器单位时间内的脉冲数量测出（ ）。</w:t>
      </w:r>
    </w:p>
    <w:p w14:paraId="09832B5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相对位置</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绝对位置</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轴加速度</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旋转速度</w:t>
      </w:r>
    </w:p>
    <w:p w14:paraId="41BF10E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0BE26EC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127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增量式光电编码器主要由（ ）</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码盘</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检测光栅</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光电检测器件和转换电路组成。</w:t>
      </w:r>
    </w:p>
    <w:p w14:paraId="3C901D0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光敏晶体管</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运算放大器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脉冲发生器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光源</w:t>
      </w:r>
    </w:p>
    <w:p w14:paraId="43B0DFF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301D6DB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128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可编程序控制器是一种专门在（ ）环境下应用而设计的数学运算操作的电子装置。</w:t>
      </w:r>
    </w:p>
    <w:p w14:paraId="0D14F89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工业</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军事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商业</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农业</w:t>
      </w:r>
    </w:p>
    <w:p w14:paraId="4514955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4AF25BA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129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可编程序控制器采用大规模集成电路构成的（ ）和存储器来组成逻辑部分。</w:t>
      </w:r>
    </w:p>
    <w:p w14:paraId="62F9085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运算器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rPr>
        <w:t>微处理器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控制器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累加器</w:t>
      </w:r>
    </w:p>
    <w:p w14:paraId="6053F75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011D4DF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130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可编程序控制器系统由基本单元</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 ）</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编程器</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用户程序程序存入器等组成。</w:t>
      </w:r>
    </w:p>
    <w:p w14:paraId="6BC8548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键盘</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鼠标</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扩展单元</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外围设备</w:t>
      </w:r>
    </w:p>
    <w:p w14:paraId="21A3D4F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5357725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131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FX2N系列可编程序控制器定时器用（ ）表示。</w:t>
      </w:r>
    </w:p>
    <w:p w14:paraId="7378288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X</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Y</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T</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D、C</w:t>
      </w:r>
    </w:p>
    <w:p w14:paraId="7B5DFB5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0DC4EFA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132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可编程序控制器采用大规模集成电路构成的微处理器和（ ）来组成逻辑部分。</w:t>
      </w:r>
    </w:p>
    <w:p w14:paraId="0F5D2A3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运算器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控制器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存储器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累加器</w:t>
      </w:r>
    </w:p>
    <w:p w14:paraId="77B766B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0B34AC3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133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FX2N系列可编程序控制器梯形图规定串联和并联的触点数是（ ）。</w:t>
      </w:r>
    </w:p>
    <w:p w14:paraId="37D5BF7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有限的</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无限的</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最多4个</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最多7个</w:t>
      </w:r>
    </w:p>
    <w:p w14:paraId="5F5AF8A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6E3D372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134</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FX2N系列可编程序控制器光耦合器有效输入电平形式是（ ）。</w:t>
      </w:r>
    </w:p>
    <w:p w14:paraId="651BB66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高电平</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低电平</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高电平或低电平</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以上都是</w:t>
      </w:r>
    </w:p>
    <w:p w14:paraId="6B3A0FD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67ADC9D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135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可编程序控制器（ ）中存放的随机数据断电即丢失。</w:t>
      </w:r>
    </w:p>
    <w:p w14:paraId="3E82D14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R</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M</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r>
        <w:rPr>
          <w:rFonts w:hint="eastAsia" w:ascii="方正楷体_GB2312" w:hAnsi="方正楷体_GB2312" w:eastAsia="方正楷体_GB2312" w:cs="方正楷体_GB2312"/>
          <w:sz w:val="24"/>
          <w:szCs w:val="24"/>
          <w:lang w:eastAsia="zh-CN"/>
        </w:rPr>
        <w:t>、</w:t>
      </w:r>
      <w:r>
        <w:rPr>
          <w:rFonts w:hint="eastAsia" w:ascii="方正楷体_GB2312" w:hAnsi="方正楷体_GB2312" w:eastAsia="方正楷体_GB2312" w:cs="方正楷体_GB2312"/>
          <w:sz w:val="24"/>
          <w:szCs w:val="24"/>
        </w:rPr>
        <w:t>ROM</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EEPROM</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以上都是</w:t>
      </w:r>
    </w:p>
    <w:p w14:paraId="12F3F61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3E0173A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136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可编程序控制器在RUN模式下，执行顺序是（ ）。</w:t>
      </w:r>
    </w:p>
    <w:p w14:paraId="19B4597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输入采样→执行用户程序→输出刷新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执行用户程序一输入采样一输出刷新</w:t>
      </w:r>
    </w:p>
    <w:p w14:paraId="7FC24BD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输入采样一输出刷新一执行用户程序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以上都不对</w:t>
      </w:r>
    </w:p>
    <w:p w14:paraId="409BB77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4E91815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137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PL</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在程序执行阶段，输入信号的改变会在（ ）扫描周期读入。</w:t>
      </w:r>
    </w:p>
    <w:p w14:paraId="0EDF44F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下一个</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当前</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下两个</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下三个</w:t>
      </w:r>
    </w:p>
    <w:p w14:paraId="078DC91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60E8415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138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用于控制用的继电器触点数一般只有4~8对，而PL</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每只软举电器供编程用的触点数有（ ）对。</w:t>
      </w:r>
    </w:p>
    <w:p w14:paraId="1058CC9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6~10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8~12</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10~20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无限</w:t>
      </w:r>
    </w:p>
    <w:p w14:paraId="175C9FE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xml:space="preserve">   </w:t>
      </w:r>
    </w:p>
    <w:p w14:paraId="3DBE20F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139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常用的开关量输入接口不包括（ ）。</w:t>
      </w:r>
    </w:p>
    <w:p w14:paraId="307D6C3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直流输入接口</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交流输入接口</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交/直流输入接口</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模拟量输入接口</w:t>
      </w:r>
    </w:p>
    <w:p w14:paraId="4C97307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5D63EEA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140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FX2N系列可编程序控制器（ ）输出反应速度比较快。</w:t>
      </w:r>
    </w:p>
    <w:p w14:paraId="37CDED7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继电器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晶体管和晶闸管</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晶体管和继电器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继电器和晶闸管</w:t>
      </w:r>
    </w:p>
    <w:p w14:paraId="3B119C1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6CBA7A5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141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FX2N系列可编程序控制器中电路并联用（ ）指令。</w:t>
      </w:r>
    </w:p>
    <w:p w14:paraId="2572A3A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N</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NI</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CA</w:t>
      </w:r>
      <w:r>
        <w:rPr>
          <w:rFonts w:hint="eastAsia" w:ascii="方正楷体_GB2312" w:hAnsi="方正楷体_GB2312" w:eastAsia="方正楷体_GB2312" w:cs="方正楷体_GB2312"/>
          <w:sz w:val="24"/>
          <w:szCs w:val="24"/>
        </w:rPr>
        <w:t>N</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OR</w:t>
      </w:r>
      <w:r>
        <w:rPr>
          <w:rFonts w:hint="eastAsia" w:ascii="方正楷体_GB2312" w:hAnsi="方正楷体_GB2312" w:eastAsia="方正楷体_GB2312" w:cs="方正楷体_GB2312"/>
          <w:sz w:val="24"/>
          <w:szCs w:val="24"/>
          <w:lang w:eastAsia="zh-CN"/>
        </w:rPr>
        <w:t>B</w:t>
      </w:r>
    </w:p>
    <w:p w14:paraId="3B095E7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7942FD8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142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PL</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编程时，主程序可以有（ ）个。</w:t>
      </w:r>
    </w:p>
    <w:p w14:paraId="6E340E9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一</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二</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三</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无限</w:t>
      </w:r>
    </w:p>
    <w:p w14:paraId="7FB4E3D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74DC6B6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143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在FX2N系列PL</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中，T200的定时精度为（ ）。</w:t>
      </w:r>
    </w:p>
    <w:p w14:paraId="3223C9F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1ms</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10ms</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100ms</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1s</w:t>
      </w:r>
    </w:p>
    <w:p w14:paraId="4C93367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72062FB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144</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FX2N系列PL</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的通信口是（ ）模式。</w:t>
      </w:r>
    </w:p>
    <w:p w14:paraId="482E3E2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RS—232</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RS-485</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RS—422</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US</w:t>
      </w:r>
      <w:r>
        <w:rPr>
          <w:rFonts w:hint="eastAsia" w:ascii="方正楷体_GB2312" w:hAnsi="方正楷体_GB2312" w:eastAsia="方正楷体_GB2312" w:cs="方正楷体_GB2312"/>
          <w:sz w:val="24"/>
          <w:szCs w:val="24"/>
          <w:lang w:eastAsia="zh-CN"/>
        </w:rPr>
        <w:t>B</w:t>
      </w:r>
    </w:p>
    <w:p w14:paraId="24E64D6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7856DBD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145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选择PL</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的I/O点数时，在满足现有要求的条件下，还要留有（ ）裕量。</w:t>
      </w:r>
    </w:p>
    <w:p w14:paraId="4F65B73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5%~10%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10%~15%</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10%~20%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20%~30%</w:t>
      </w:r>
    </w:p>
    <w:p w14:paraId="729A774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5419022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146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可编程序控制器的接地线截面积一般大于（ ）。</w:t>
      </w:r>
    </w:p>
    <w:p w14:paraId="347C17D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1mm</w:t>
      </w:r>
      <w:r>
        <w:rPr>
          <w:rFonts w:hint="eastAsia" w:ascii="方正楷体_GB2312" w:hAnsi="方正楷体_GB2312" w:eastAsia="方正楷体_GB2312" w:cs="方正楷体_GB2312"/>
          <w:sz w:val="24"/>
          <w:szCs w:val="24"/>
          <w:vertAlign w:val="superscript"/>
        </w:rPr>
        <w:t>2</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1.5mm</w:t>
      </w:r>
      <w:r>
        <w:rPr>
          <w:rFonts w:hint="eastAsia" w:ascii="方正楷体_GB2312" w:hAnsi="方正楷体_GB2312" w:eastAsia="方正楷体_GB2312" w:cs="方正楷体_GB2312"/>
          <w:sz w:val="24"/>
          <w:szCs w:val="24"/>
          <w:vertAlign w:val="superscript"/>
        </w:rPr>
        <w:t>2</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2mm</w:t>
      </w:r>
      <w:r>
        <w:rPr>
          <w:rFonts w:hint="eastAsia" w:ascii="方正楷体_GB2312" w:hAnsi="方正楷体_GB2312" w:eastAsia="方正楷体_GB2312" w:cs="方正楷体_GB2312"/>
          <w:sz w:val="24"/>
          <w:szCs w:val="24"/>
          <w:vertAlign w:val="superscript"/>
        </w:rPr>
        <w:t>2</w:t>
      </w:r>
      <w:r>
        <w:rPr>
          <w:rFonts w:hint="eastAsia" w:ascii="方正楷体_GB2312" w:hAnsi="方正楷体_GB2312" w:eastAsia="方正楷体_GB2312" w:cs="方正楷体_GB2312"/>
          <w:sz w:val="24"/>
          <w:szCs w:val="24"/>
          <w:vertAlign w:val="superscript"/>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2.5mm</w:t>
      </w:r>
      <w:r>
        <w:rPr>
          <w:rFonts w:hint="eastAsia" w:ascii="方正楷体_GB2312" w:hAnsi="方正楷体_GB2312" w:eastAsia="方正楷体_GB2312" w:cs="方正楷体_GB2312"/>
          <w:sz w:val="24"/>
          <w:szCs w:val="24"/>
          <w:vertAlign w:val="superscript"/>
        </w:rPr>
        <w:t>2</w:t>
      </w:r>
    </w:p>
    <w:p w14:paraId="0BA76EB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2DF897E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147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PL</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外部环境检查时，当温度过大时应考虑装（ ）。</w:t>
      </w:r>
    </w:p>
    <w:p w14:paraId="23D6019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风扇</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加热器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空调</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除尘器</w:t>
      </w:r>
    </w:p>
    <w:p w14:paraId="0DB1C80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0A2C21C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148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将程序写入可编程序控制器时，首先将（ ）清零</w:t>
      </w:r>
    </w:p>
    <w:p w14:paraId="5D9E204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存储器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计数器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rPr>
        <w:t>计时器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计算器</w:t>
      </w:r>
    </w:p>
    <w:p w14:paraId="03242C9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2B1196B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149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PL</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编程软件通过计算机可以对PL</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实施（ ）。</w:t>
      </w:r>
    </w:p>
    <w:p w14:paraId="38858F4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编程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运行控制</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监控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以上都是</w:t>
      </w:r>
    </w:p>
    <w:p w14:paraId="52A7875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51624F3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152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FX系列PL</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的编程器的显示内容包括（ ）</w:t>
      </w:r>
      <w:r>
        <w:rPr>
          <w:rFonts w:hint="eastAsia" w:ascii="方正楷体_GB2312" w:hAnsi="方正楷体_GB2312" w:eastAsia="方正楷体_GB2312" w:cs="方正楷体_GB2312"/>
          <w:sz w:val="24"/>
          <w:szCs w:val="24"/>
          <w:lang w:eastAsia="zh-CN"/>
        </w:rPr>
        <w:t>、</w:t>
      </w:r>
      <w:r>
        <w:rPr>
          <w:rFonts w:hint="eastAsia" w:ascii="方正楷体_GB2312" w:hAnsi="方正楷体_GB2312" w:eastAsia="方正楷体_GB2312" w:cs="方正楷体_GB2312"/>
          <w:sz w:val="24"/>
          <w:szCs w:val="24"/>
        </w:rPr>
        <w:t>数据</w:t>
      </w:r>
      <w:r>
        <w:rPr>
          <w:rFonts w:hint="eastAsia" w:ascii="方正楷体_GB2312" w:hAnsi="方正楷体_GB2312" w:eastAsia="方正楷体_GB2312" w:cs="方正楷体_GB2312"/>
          <w:sz w:val="24"/>
          <w:szCs w:val="24"/>
          <w:lang w:eastAsia="zh-CN"/>
        </w:rPr>
        <w:t>、</w:t>
      </w:r>
      <w:r>
        <w:rPr>
          <w:rFonts w:hint="eastAsia" w:ascii="方正楷体_GB2312" w:hAnsi="方正楷体_GB2312" w:eastAsia="方正楷体_GB2312" w:cs="方正楷体_GB2312"/>
          <w:sz w:val="24"/>
          <w:szCs w:val="24"/>
        </w:rPr>
        <w:t>工作方式</w:t>
      </w:r>
      <w:r>
        <w:rPr>
          <w:rFonts w:hint="eastAsia" w:ascii="方正楷体_GB2312" w:hAnsi="方正楷体_GB2312" w:eastAsia="方正楷体_GB2312" w:cs="方正楷体_GB2312"/>
          <w:sz w:val="24"/>
          <w:szCs w:val="24"/>
          <w:lang w:eastAsia="zh-CN"/>
        </w:rPr>
        <w:t>、</w:t>
      </w:r>
      <w:r>
        <w:rPr>
          <w:rFonts w:hint="eastAsia" w:ascii="方正楷体_GB2312" w:hAnsi="方正楷体_GB2312" w:eastAsia="方正楷体_GB2312" w:cs="方正楷体_GB2312"/>
          <w:sz w:val="24"/>
          <w:szCs w:val="24"/>
        </w:rPr>
        <w:t>指令执行情况和系统工作状态等。</w:t>
      </w:r>
    </w:p>
    <w:p w14:paraId="7D40492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地址</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参数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程序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位移寄存器</w:t>
      </w:r>
    </w:p>
    <w:p w14:paraId="524E6B1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043C880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153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对于晶闸管输出型PL</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，要注意负载电源为（ ），并且不能超过额定值。</w:t>
      </w:r>
    </w:p>
    <w:p w14:paraId="66D8817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rPr>
        <w:t xml:space="preserve"> </w:t>
      </w:r>
      <w:r>
        <w:rPr>
          <w:rFonts w:hint="eastAsia" w:ascii="方正楷体_GB2312" w:hAnsi="方正楷体_GB2312" w:eastAsia="方正楷体_GB2312" w:cs="方正楷体_GB2312"/>
          <w:sz w:val="24"/>
          <w:szCs w:val="24"/>
          <w:lang w:eastAsia="zh-CN"/>
        </w:rPr>
        <w:t>AC</w:t>
      </w:r>
      <w:r>
        <w:rPr>
          <w:rFonts w:hint="eastAsia" w:ascii="方正楷体_GB2312" w:hAnsi="方正楷体_GB2312" w:eastAsia="方正楷体_GB2312" w:cs="方正楷体_GB2312"/>
          <w:sz w:val="24"/>
          <w:szCs w:val="24"/>
        </w:rPr>
        <w:t>600V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AC</w:t>
      </w:r>
      <w:r>
        <w:rPr>
          <w:rFonts w:hint="eastAsia" w:ascii="方正楷体_GB2312" w:hAnsi="方正楷体_GB2312" w:eastAsia="方正楷体_GB2312" w:cs="方正楷体_GB2312"/>
          <w:sz w:val="24"/>
          <w:szCs w:val="24"/>
        </w:rPr>
        <w:t>220V</w:t>
      </w:r>
      <w:r>
        <w:rPr>
          <w:rFonts w:hint="eastAsia" w:ascii="方正楷体_GB2312" w:hAnsi="方正楷体_GB2312" w:eastAsia="方正楷体_GB2312" w:cs="方正楷体_GB2312"/>
          <w:sz w:val="24"/>
          <w:szCs w:val="24"/>
          <w:lang w:eastAsia="zh-CN"/>
        </w:rPr>
        <w:t>CD</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rPr>
        <w:t>220V</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24V</w:t>
      </w:r>
    </w:p>
    <w:p w14:paraId="4DBF23F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2BF7BCA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154</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变频器是通过改变交流电动机定子电压</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频率等参数来（ ）的装置。</w:t>
      </w:r>
    </w:p>
    <w:p w14:paraId="5C7EA47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调节电动机转速</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调节电动机转矩</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调节电动机功率</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调节电动机性能</w:t>
      </w:r>
    </w:p>
    <w:p w14:paraId="6FF54E2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4376534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155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对于一般交流异步电动机的变频调速控制广泛采用的是（ ）变频器。</w:t>
      </w:r>
    </w:p>
    <w:p w14:paraId="2288B09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交-交</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交-直-交</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高压变频器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专用</w:t>
      </w:r>
    </w:p>
    <w:p w14:paraId="1BDCB18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15DFF78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156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在通用变频主电路中的电源整流器较多采用（ ）。</w:t>
      </w:r>
    </w:p>
    <w:p w14:paraId="46CA58E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快恢复二极管</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普通整流二极管</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肖特基二极管</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普通晶闸管</w:t>
      </w:r>
    </w:p>
    <w:p w14:paraId="1F14995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6048C1B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157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FR-</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700系列是三菱（ ）变频器。</w:t>
      </w:r>
    </w:p>
    <w:p w14:paraId="3C0039D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多功能高性能</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经济型高性能</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水泵和风机专用型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节能型轻负载</w:t>
      </w:r>
    </w:p>
    <w:p w14:paraId="243EE73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17C36F5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158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变频器输出侧技术数据中（ ）是用户选择变频器容量时的主要依据。</w:t>
      </w:r>
    </w:p>
    <w:p w14:paraId="2203E53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额定输出电流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额定输出电压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输出频率范围</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配用电动机容量</w:t>
      </w:r>
    </w:p>
    <w:p w14:paraId="38E86FF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7617AA4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159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变频器常见的各种频率给定方式中，最易受干扰的方式是（ ）方式。</w:t>
      </w:r>
    </w:p>
    <w:p w14:paraId="3E3B3F5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键盘给定</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模拟电压信号给定</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模拟电流信号给定</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通信方式给定</w:t>
      </w:r>
    </w:p>
    <w:p w14:paraId="3D9AC30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1AFA3AE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160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在变频器的几种控制方式中，其动态性能比较的结论是（ ）。</w:t>
      </w:r>
    </w:p>
    <w:p w14:paraId="4A5CC16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转差矢量控制系统优于无速度检测器的矢量控制系统</w:t>
      </w:r>
    </w:p>
    <w:p w14:paraId="28455DE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U/f控制优于转差频率控制</w:t>
      </w:r>
    </w:p>
    <w:p w14:paraId="2F7B14E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转差频率控制优于矢量控制</w:t>
      </w:r>
    </w:p>
    <w:p w14:paraId="3CB1430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无速度检测器的矢量控制系统优于转差型矢量控制系统</w:t>
      </w:r>
    </w:p>
    <w:p w14:paraId="016D6D8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p>
    <w:p w14:paraId="4359C94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161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西门子MM420型变频器的主电路电源端子（ ）需经交流接触器和保护用断路器与三相电源连接，但不宜采用主电路的通</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断进行变频器的运行与停止操作。</w:t>
      </w:r>
    </w:p>
    <w:p w14:paraId="550631A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rPr>
        <w:t xml:space="preserve"> X</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Y</w:t>
      </w:r>
      <w:r>
        <w:rPr>
          <w:rFonts w:hint="eastAsia" w:ascii="方正楷体_GB2312" w:hAnsi="方正楷体_GB2312" w:eastAsia="方正楷体_GB2312" w:cs="方正楷体_GB2312"/>
          <w:sz w:val="24"/>
          <w:szCs w:val="24"/>
          <w:lang w:eastAsia="zh-CN"/>
        </w:rPr>
        <w:t>、</w:t>
      </w:r>
      <w:r>
        <w:rPr>
          <w:rFonts w:hint="eastAsia" w:ascii="方正楷体_GB2312" w:hAnsi="方正楷体_GB2312" w:eastAsia="方正楷体_GB2312" w:cs="方正楷体_GB2312"/>
          <w:sz w:val="24"/>
          <w:szCs w:val="24"/>
        </w:rPr>
        <w:t>Z</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rPr>
        <w:t>U</w:t>
      </w:r>
      <w:r>
        <w:rPr>
          <w:rFonts w:hint="eastAsia" w:ascii="方正楷体_GB2312" w:hAnsi="方正楷体_GB2312" w:eastAsia="方正楷体_GB2312" w:cs="方正楷体_GB2312"/>
          <w:sz w:val="24"/>
          <w:szCs w:val="24"/>
          <w:lang w:eastAsia="zh-CN"/>
        </w:rPr>
        <w:t>、</w:t>
      </w:r>
      <w:r>
        <w:rPr>
          <w:rFonts w:hint="eastAsia" w:ascii="方正楷体_GB2312" w:hAnsi="方正楷体_GB2312" w:eastAsia="方正楷体_GB2312" w:cs="方正楷体_GB2312"/>
          <w:sz w:val="24"/>
          <w:szCs w:val="24"/>
        </w:rPr>
        <w:t>V</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W</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rPr>
        <w:t>L1</w:t>
      </w:r>
      <w:r>
        <w:rPr>
          <w:rFonts w:hint="eastAsia" w:ascii="方正楷体_GB2312" w:hAnsi="方正楷体_GB2312" w:eastAsia="方正楷体_GB2312" w:cs="方正楷体_GB2312"/>
          <w:sz w:val="24"/>
          <w:szCs w:val="24"/>
          <w:lang w:eastAsia="zh-CN"/>
        </w:rPr>
        <w:t>、</w:t>
      </w:r>
      <w:r>
        <w:rPr>
          <w:rFonts w:hint="eastAsia" w:ascii="方正楷体_GB2312" w:hAnsi="方正楷体_GB2312" w:eastAsia="方正楷体_GB2312" w:cs="方正楷体_GB2312"/>
          <w:sz w:val="24"/>
          <w:szCs w:val="24"/>
        </w:rPr>
        <w:t>L2</w:t>
      </w:r>
      <w:r>
        <w:rPr>
          <w:rFonts w:hint="eastAsia" w:ascii="方正楷体_GB2312" w:hAnsi="方正楷体_GB2312" w:eastAsia="方正楷体_GB2312" w:cs="方正楷体_GB2312"/>
          <w:sz w:val="24"/>
          <w:szCs w:val="24"/>
          <w:lang w:eastAsia="zh-CN"/>
        </w:rPr>
        <w:t>、</w:t>
      </w:r>
      <w:r>
        <w:rPr>
          <w:rFonts w:hint="eastAsia" w:ascii="方正楷体_GB2312" w:hAnsi="方正楷体_GB2312" w:eastAsia="方正楷体_GB2312" w:cs="方正楷体_GB2312"/>
          <w:sz w:val="24"/>
          <w:szCs w:val="24"/>
        </w:rPr>
        <w:t>L2</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DA、B</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C</w:t>
      </w:r>
    </w:p>
    <w:p w14:paraId="3DE1448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00BEFFD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162</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一台使用多年的250kW电动机拖动鼓风机，经变频改造运行两个月后常出现过电流跳闸现象。故障的原因可能是（ ）。</w:t>
      </w:r>
    </w:p>
    <w:p w14:paraId="0BCD047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变频器选配不当</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变频器参数设置不当</w:t>
      </w:r>
    </w:p>
    <w:p w14:paraId="6B1361F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变频供电的高频谐波使电动机绝缘加速老化</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负载有时过重</w:t>
      </w:r>
    </w:p>
    <w:p w14:paraId="16EF345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17A5F97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163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晶闸管电动机软起动器的功能不包括（ ）。</w:t>
      </w:r>
    </w:p>
    <w:p w14:paraId="049030D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电阻调压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软停机</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软起动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多种保护功能</w:t>
      </w:r>
    </w:p>
    <w:p w14:paraId="74E5FB6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52E207F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164</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低压软起动器的主电路通常采用（ ）形式。</w:t>
      </w:r>
    </w:p>
    <w:p w14:paraId="65EEF66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电阻调压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自耦调压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开关变压器调压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晶闸管调压</w:t>
      </w:r>
    </w:p>
    <w:p w14:paraId="5CE8B15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D </w:t>
      </w:r>
    </w:p>
    <w:p w14:paraId="687767D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165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西普STR系列（ ）软起动器，是外加旁路</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智能型。</w:t>
      </w:r>
    </w:p>
    <w:p w14:paraId="6CE797B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B、B</w:t>
      </w:r>
      <w:r>
        <w:rPr>
          <w:rFonts w:hint="eastAsia" w:ascii="方正楷体_GB2312" w:hAnsi="方正楷体_GB2312" w:eastAsia="方正楷体_GB2312" w:cs="方正楷体_GB2312"/>
          <w:sz w:val="24"/>
          <w:szCs w:val="24"/>
        </w:rPr>
        <w:t>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rPr>
        <w:t>L型</w:t>
      </w:r>
    </w:p>
    <w:p w14:paraId="1980DAE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6E83D18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166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按照交流电动机各种起动方式的主要技术指标，性能最佳的是（ ）。</w:t>
      </w:r>
    </w:p>
    <w:p w14:paraId="52171E7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串电感起动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串电阻起动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软起动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变频起动</w:t>
      </w:r>
    </w:p>
    <w:p w14:paraId="367CB09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3CF8B8D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167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软起动器的功能调节参数有运行参数、（ ）和停机参数。</w:t>
      </w:r>
    </w:p>
    <w:p w14:paraId="3EDEA63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电阻参数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起动参数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电子参数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电源参数</w:t>
      </w:r>
    </w:p>
    <w:p w14:paraId="16F7E61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764B9B2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168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软起动器的工作原理是利用（ ）交流调压的原理。</w:t>
      </w:r>
    </w:p>
    <w:p w14:paraId="266C3A4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整流二极管</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晶闸管</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逆变管</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电开关管</w:t>
      </w:r>
    </w:p>
    <w:p w14:paraId="42489A1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218C74F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169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西普软起动器外界旁路接触器专用接线端子的为（ ）。</w:t>
      </w:r>
    </w:p>
    <w:p w14:paraId="1A6978E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R、S、T</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U、V、W</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U1、V1、W</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U2、V2、W2 1</w:t>
      </w:r>
    </w:p>
    <w:p w14:paraId="34AB7C7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18AF55C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170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软起动器旁路接触器必须与软起动器的输入和输出端一一对应接正确，（ ）。</w:t>
      </w:r>
    </w:p>
    <w:p w14:paraId="20AC88C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要就近安装接线</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允许变换相序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不允许变换相序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应做好标识</w:t>
      </w:r>
    </w:p>
    <w:p w14:paraId="44F6584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6866737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171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接通主电源后，软起动器虽处于待机状态，但电动机有嗡嗡响。此故障不可能的原因是（ ）。</w:t>
      </w:r>
    </w:p>
    <w:p w14:paraId="71CEE74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晶闸管短路故障</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旁路接触器有触点粘连</w:t>
      </w:r>
      <w:r>
        <w:rPr>
          <w:rFonts w:hint="eastAsia" w:ascii="方正楷体_GB2312" w:hAnsi="方正楷体_GB2312" w:eastAsia="方正楷体_GB2312" w:cs="方正楷体_GB2312"/>
          <w:sz w:val="24"/>
          <w:szCs w:val="24"/>
          <w:lang w:val="en-US" w:eastAsia="zh-CN"/>
        </w:rPr>
        <w:t xml:space="preserve">    </w:t>
      </w:r>
    </w:p>
    <w:p w14:paraId="5E54CD9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触发电路不动作</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起动电路接线错误</w:t>
      </w:r>
    </w:p>
    <w:p w14:paraId="202C302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4DC4A5F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173</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FX系列编程器的显示内容包括地址、数据、（ ）、指令执行情况和系统工作状态灯。</w:t>
      </w:r>
    </w:p>
    <w:p w14:paraId="3D00E78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程序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参数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工作方式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位移存储器</w:t>
      </w:r>
    </w:p>
    <w:p w14:paraId="4E424C0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0510D08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175</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用直流惠斯顿电桥测电阻属于（ ）测量。</w:t>
      </w:r>
    </w:p>
    <w:p w14:paraId="65C08AF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直接</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间接</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比较</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一般</w:t>
      </w:r>
    </w:p>
    <w:p w14:paraId="2CAFCA2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   </w:t>
      </w:r>
    </w:p>
    <w:p w14:paraId="1A774C6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176</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使用示波器同时观测两个频率较低的信号时，显示方式开关应置于（ ）位置。</w:t>
      </w:r>
    </w:p>
    <w:p w14:paraId="4C88C21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交替</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叠加</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断续</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相减</w:t>
      </w:r>
    </w:p>
    <w:p w14:paraId="122CC04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C </w:t>
      </w:r>
    </w:p>
    <w:p w14:paraId="541856C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177</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函数信号发生器除了可以产生正弦波信号，还可以产生（ ）信号</w:t>
      </w:r>
      <w:r>
        <w:rPr>
          <w:rFonts w:hint="eastAsia" w:ascii="方正楷体_GB2312" w:hAnsi="方正楷体_GB2312" w:eastAsia="方正楷体_GB2312" w:cs="方正楷体_GB2312"/>
          <w:sz w:val="24"/>
          <w:szCs w:val="24"/>
          <w:lang w:eastAsia="zh-CN"/>
        </w:rPr>
        <w:t xml:space="preserve">. </w:t>
      </w:r>
    </w:p>
    <w:p w14:paraId="7794E45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调频波</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三角波</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任意波形</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调辐波</w:t>
      </w:r>
    </w:p>
    <w:p w14:paraId="2089926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51CCAF6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178</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已触发导通的晶闸管，当阳极电流减小到低于维持电流时，晶闸管的状态是（ ）。</w:t>
      </w:r>
    </w:p>
    <w:p w14:paraId="6F0AF8D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继续维持导通</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转为关断</w:t>
      </w:r>
    </w:p>
    <w:p w14:paraId="3EB1422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只要阳极一阴极仍有正相电压，管子能继续导通</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不能确定</w:t>
      </w:r>
    </w:p>
    <w:p w14:paraId="4365176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w:t>
      </w:r>
    </w:p>
    <w:p w14:paraId="480EFFC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179</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TIL与非门输入端全部接高电平时，输出为（ ）。</w:t>
      </w:r>
    </w:p>
    <w:p w14:paraId="6C909B9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零电平</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低电平</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高电平</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低电平或高电平</w:t>
      </w:r>
    </w:p>
    <w:p w14:paraId="2C68560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7C2F221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180</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或非门RS触发器的触发信号为（ ）。</w:t>
      </w:r>
    </w:p>
    <w:p w14:paraId="32486FF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正弦波</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正脉冲</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锯齿波</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负脉冲</w:t>
      </w:r>
    </w:p>
    <w:p w14:paraId="507DF8C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25C1716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181</w:t>
      </w:r>
      <w:r>
        <w:rPr>
          <w:rFonts w:hint="eastAsia" w:ascii="方正楷体_GB2312" w:hAnsi="方正楷体_GB2312" w:eastAsia="方正楷体_GB2312" w:cs="方正楷体_GB2312"/>
          <w:sz w:val="24"/>
          <w:szCs w:val="24"/>
          <w:lang w:eastAsia="zh-CN"/>
        </w:rPr>
        <w:t xml:space="preserve">. </w:t>
      </w:r>
      <w:r>
        <w:rPr>
          <w:rFonts w:hint="eastAsia" w:ascii="方正楷体_GB2312" w:hAnsi="方正楷体_GB2312" w:eastAsia="方正楷体_GB2312" w:cs="方正楷体_GB2312"/>
          <w:sz w:val="24"/>
          <w:szCs w:val="24"/>
        </w:rPr>
        <w:t>多谐振荡器（ ）。</w:t>
      </w:r>
    </w:p>
    <w:p w14:paraId="631BEA1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 有一个稳态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 有两个稳态</w:t>
      </w:r>
    </w:p>
    <w:p w14:paraId="19E04E0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没有稳态，有一个暂稳态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没有稳态，有两个暂稳态</w:t>
      </w:r>
    </w:p>
    <w:p w14:paraId="6B2BE53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D</w:t>
      </w:r>
    </w:p>
    <w:p w14:paraId="0E2A0F0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18</w:t>
      </w:r>
      <w:r>
        <w:rPr>
          <w:rFonts w:hint="eastAsia" w:ascii="方正楷体_GB2312" w:hAnsi="方正楷体_GB2312" w:eastAsia="方正楷体_GB2312" w:cs="方正楷体_GB2312"/>
          <w:sz w:val="24"/>
          <w:szCs w:val="24"/>
          <w:lang w:val="en-US" w:eastAsia="zh-CN"/>
        </w:rPr>
        <w:t>2</w:t>
      </w:r>
      <w:r>
        <w:rPr>
          <w:rFonts w:hint="eastAsia" w:ascii="方正楷体_GB2312" w:hAnsi="方正楷体_GB2312" w:eastAsia="方正楷体_GB2312" w:cs="方正楷体_GB2312"/>
          <w:sz w:val="24"/>
          <w:szCs w:val="24"/>
        </w:rPr>
        <w:t>.增量式光电编码器每产生一个(  )就对应于一个增量位移。</w:t>
      </w:r>
    </w:p>
    <w:p w14:paraId="5C6C72C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输出脉冲信号 </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、输出电流信号 </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xml:space="preserve">、输出电压信号 </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、输出光脉冲</w:t>
      </w:r>
    </w:p>
    <w:p w14:paraId="1960387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1EBAD16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18</w:t>
      </w:r>
      <w:r>
        <w:rPr>
          <w:rFonts w:hint="eastAsia" w:ascii="方正楷体_GB2312" w:hAnsi="方正楷体_GB2312" w:eastAsia="方正楷体_GB2312" w:cs="方正楷体_GB2312"/>
          <w:sz w:val="24"/>
          <w:szCs w:val="24"/>
          <w:lang w:val="en-US" w:eastAsia="zh-CN"/>
        </w:rPr>
        <w:t>3</w:t>
      </w:r>
      <w:r>
        <w:rPr>
          <w:rFonts w:hint="eastAsia" w:ascii="方正楷体_GB2312" w:hAnsi="方正楷体_GB2312" w:eastAsia="方正楷体_GB2312" w:cs="方正楷体_GB2312"/>
          <w:sz w:val="24"/>
          <w:szCs w:val="24"/>
        </w:rPr>
        <w:t>.直流单臂电桥测量小值电阻时，不能排除(  )，而直流双臂电桥则可以。</w:t>
      </w:r>
    </w:p>
    <w:p w14:paraId="4AA3441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xml:space="preserve">、接线电阻及接触电阻 </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xml:space="preserve">、接线电阻及桥臂电阻 </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、桥臂电阻及接触电阻</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、桥臂电阻及导线电阻</w:t>
      </w:r>
    </w:p>
    <w:p w14:paraId="598743C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4173A4D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18</w:t>
      </w:r>
      <w:r>
        <w:rPr>
          <w:rFonts w:hint="eastAsia" w:ascii="方正楷体_GB2312" w:hAnsi="方正楷体_GB2312" w:eastAsia="方正楷体_GB2312" w:cs="方正楷体_GB2312"/>
          <w:sz w:val="24"/>
          <w:szCs w:val="24"/>
          <w:lang w:val="en-US" w:eastAsia="zh-CN"/>
        </w:rPr>
        <w:t>4</w:t>
      </w:r>
      <w:r>
        <w:rPr>
          <w:rFonts w:hint="eastAsia" w:ascii="方正楷体_GB2312" w:hAnsi="方正楷体_GB2312" w:eastAsia="方正楷体_GB2312" w:cs="方正楷体_GB2312"/>
          <w:sz w:val="24"/>
          <w:szCs w:val="24"/>
        </w:rPr>
        <w:t>.PL</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外部环境检查时，当湿度过大时应考虑装(  )。</w:t>
      </w:r>
    </w:p>
    <w:p w14:paraId="1E50629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、风扇</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、加热器</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、空调</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、除尘器</w:t>
      </w:r>
    </w:p>
    <w:p w14:paraId="7410BE9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5907173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18</w:t>
      </w:r>
      <w:r>
        <w:rPr>
          <w:rFonts w:hint="eastAsia" w:ascii="方正楷体_GB2312" w:hAnsi="方正楷体_GB2312" w:eastAsia="方正楷体_GB2312" w:cs="方正楷体_GB2312"/>
          <w:sz w:val="24"/>
          <w:szCs w:val="24"/>
          <w:lang w:val="en-US" w:eastAsia="zh-CN"/>
        </w:rPr>
        <w:t>5</w:t>
      </w:r>
      <w:r>
        <w:rPr>
          <w:rFonts w:hint="eastAsia" w:ascii="方正楷体_GB2312" w:hAnsi="方正楷体_GB2312" w:eastAsia="方正楷体_GB2312" w:cs="方正楷体_GB2312"/>
          <w:sz w:val="24"/>
          <w:szCs w:val="24"/>
        </w:rPr>
        <w:t>.数字万用表按量程转换方式可分为(  )类。</w:t>
      </w:r>
    </w:p>
    <w:p w14:paraId="00DAB55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、5</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、3</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、4</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、2</w:t>
      </w:r>
    </w:p>
    <w:p w14:paraId="61CF95E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28E5FA7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18</w:t>
      </w:r>
      <w:r>
        <w:rPr>
          <w:rFonts w:hint="eastAsia" w:ascii="方正楷体_GB2312" w:hAnsi="方正楷体_GB2312" w:eastAsia="方正楷体_GB2312" w:cs="方正楷体_GB2312"/>
          <w:sz w:val="24"/>
          <w:szCs w:val="24"/>
          <w:lang w:val="en-US" w:eastAsia="zh-CN"/>
        </w:rPr>
        <w:t>6</w:t>
      </w:r>
      <w:r>
        <w:rPr>
          <w:rFonts w:hint="eastAsia" w:ascii="方正楷体_GB2312" w:hAnsi="方正楷体_GB2312" w:eastAsia="方正楷体_GB2312" w:cs="方正楷体_GB2312"/>
          <w:sz w:val="24"/>
          <w:szCs w:val="24"/>
        </w:rPr>
        <w:t>.下列逻辑门电路需要外接上拉电阻才能正常工作的是(  )。</w:t>
      </w:r>
    </w:p>
    <w:p w14:paraId="3DE9958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、与非门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、或非门</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、与或非门</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、O</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门</w:t>
      </w:r>
    </w:p>
    <w:p w14:paraId="7D1ED06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238A388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18</w:t>
      </w:r>
      <w:r>
        <w:rPr>
          <w:rFonts w:hint="eastAsia" w:ascii="方正楷体_GB2312" w:hAnsi="方正楷体_GB2312" w:eastAsia="方正楷体_GB2312" w:cs="方正楷体_GB2312"/>
          <w:sz w:val="24"/>
          <w:szCs w:val="24"/>
          <w:lang w:val="en-US" w:eastAsia="zh-CN"/>
        </w:rPr>
        <w:t>7</w:t>
      </w:r>
      <w:r>
        <w:rPr>
          <w:rFonts w:hint="eastAsia" w:ascii="方正楷体_GB2312" w:hAnsi="方正楷体_GB2312" w:eastAsia="方正楷体_GB2312" w:cs="方正楷体_GB2312"/>
          <w:sz w:val="24"/>
          <w:szCs w:val="24"/>
        </w:rPr>
        <w:t>.晶体管毫伏表最小量程一般为(  )。</w:t>
      </w:r>
    </w:p>
    <w:p w14:paraId="148EB04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、10mV</w:t>
      </w:r>
      <w:r>
        <w:rPr>
          <w:rFonts w:hint="eastAsia" w:ascii="方正楷体_GB2312" w:hAnsi="方正楷体_GB2312" w:eastAsia="方正楷体_GB2312" w:cs="方正楷体_GB2312"/>
          <w:sz w:val="24"/>
          <w:szCs w:val="24"/>
          <w:lang w:val="en-US" w:eastAsia="zh-CN"/>
        </w:rPr>
        <w:t xml:space="preserve">   B</w:t>
      </w:r>
      <w:r>
        <w:rPr>
          <w:rFonts w:hint="eastAsia" w:ascii="方正楷体_GB2312" w:hAnsi="方正楷体_GB2312" w:eastAsia="方正楷体_GB2312" w:cs="方正楷体_GB2312"/>
          <w:sz w:val="24"/>
          <w:szCs w:val="24"/>
        </w:rPr>
        <w:t>、1mV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C</w:t>
      </w:r>
      <w:r>
        <w:rPr>
          <w:rFonts w:hint="eastAsia" w:ascii="方正楷体_GB2312" w:hAnsi="方正楷体_GB2312" w:eastAsia="方正楷体_GB2312" w:cs="方正楷体_GB2312"/>
          <w:sz w:val="24"/>
          <w:szCs w:val="24"/>
        </w:rPr>
        <w:t>、1V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D</w:t>
      </w:r>
      <w:r>
        <w:rPr>
          <w:rFonts w:hint="eastAsia" w:ascii="方正楷体_GB2312" w:hAnsi="方正楷体_GB2312" w:eastAsia="方正楷体_GB2312" w:cs="方正楷体_GB2312"/>
          <w:sz w:val="24"/>
          <w:szCs w:val="24"/>
        </w:rPr>
        <w:t>、0.1V</w:t>
      </w:r>
    </w:p>
    <w:p w14:paraId="6FC0DED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5661520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18</w:t>
      </w:r>
      <w:r>
        <w:rPr>
          <w:rFonts w:hint="eastAsia" w:ascii="方正楷体_GB2312" w:hAnsi="方正楷体_GB2312" w:eastAsia="方正楷体_GB2312" w:cs="方正楷体_GB2312"/>
          <w:sz w:val="24"/>
          <w:szCs w:val="24"/>
          <w:lang w:val="en-US" w:eastAsia="zh-CN"/>
        </w:rPr>
        <w:t>8</w:t>
      </w:r>
      <w:r>
        <w:rPr>
          <w:rFonts w:hint="eastAsia" w:ascii="方正楷体_GB2312" w:hAnsi="方正楷体_GB2312" w:eastAsia="方正楷体_GB2312" w:cs="方正楷体_GB2312"/>
          <w:sz w:val="24"/>
          <w:szCs w:val="24"/>
        </w:rPr>
        <w:t>.如图所示，不计电压表和电流表的内阻对电路的影响。开关接1时，电流表中流过的短路电流为(  )。</w:t>
      </w:r>
    </w:p>
    <w:p w14:paraId="798D2A2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、0</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、10</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、0.2</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、约等于0.2</w:t>
      </w:r>
      <w:r>
        <w:rPr>
          <w:rFonts w:hint="eastAsia" w:ascii="方正楷体_GB2312" w:hAnsi="方正楷体_GB2312" w:eastAsia="方正楷体_GB2312" w:cs="方正楷体_GB2312"/>
          <w:sz w:val="24"/>
          <w:szCs w:val="24"/>
          <w:lang w:eastAsia="zh-CN"/>
        </w:rPr>
        <w:t>A</w:t>
      </w:r>
    </w:p>
    <w:p w14:paraId="4FEEE9E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21F5055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18</w:t>
      </w:r>
      <w:r>
        <w:rPr>
          <w:rFonts w:hint="eastAsia" w:ascii="方正楷体_GB2312" w:hAnsi="方正楷体_GB2312" w:eastAsia="方正楷体_GB2312" w:cs="方正楷体_GB2312"/>
          <w:sz w:val="24"/>
          <w:szCs w:val="24"/>
          <w:lang w:val="en-US" w:eastAsia="zh-CN"/>
        </w:rPr>
        <w:t>9</w:t>
      </w:r>
      <w:r>
        <w:rPr>
          <w:rFonts w:hint="eastAsia" w:ascii="方正楷体_GB2312" w:hAnsi="方正楷体_GB2312" w:eastAsia="方正楷体_GB2312" w:cs="方正楷体_GB2312"/>
          <w:sz w:val="24"/>
          <w:szCs w:val="24"/>
        </w:rPr>
        <w:t>.绕线式异步电动机转子串频敏变阻器启动时，随着转速的升高，(  )自动减小。</w:t>
      </w:r>
    </w:p>
    <w:p w14:paraId="0DB1865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、频敏变阻器的等效电压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、频敏变阻器的等效电流</w:t>
      </w:r>
      <w:r>
        <w:rPr>
          <w:rFonts w:hint="eastAsia" w:ascii="方正楷体_GB2312" w:hAnsi="方正楷体_GB2312" w:eastAsia="方正楷体_GB2312" w:cs="方正楷体_GB2312"/>
          <w:sz w:val="24"/>
          <w:szCs w:val="24"/>
          <w:lang w:eastAsia="zh-CN"/>
        </w:rPr>
        <w:tab/>
      </w:r>
    </w:p>
    <w:p w14:paraId="0365EFC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、频敏变阻器的等效功率</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、频敏变阻器的等效阻抗</w:t>
      </w:r>
    </w:p>
    <w:p w14:paraId="30B3906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7F9F22E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w:t>
      </w:r>
      <w:r>
        <w:rPr>
          <w:rFonts w:hint="eastAsia" w:ascii="方正楷体_GB2312" w:hAnsi="方正楷体_GB2312" w:eastAsia="方正楷体_GB2312" w:cs="方正楷体_GB2312"/>
          <w:sz w:val="24"/>
          <w:szCs w:val="24"/>
          <w:lang w:val="en-US" w:eastAsia="zh-CN"/>
        </w:rPr>
        <w:t>90</w:t>
      </w:r>
      <w:r>
        <w:rPr>
          <w:rFonts w:hint="eastAsia" w:ascii="方正楷体_GB2312" w:hAnsi="方正楷体_GB2312" w:eastAsia="方正楷体_GB2312" w:cs="方正楷体_GB2312"/>
          <w:sz w:val="24"/>
          <w:szCs w:val="24"/>
        </w:rPr>
        <w:t>.FX2N系列可编程序控制器计数器用(  )表示。</w:t>
      </w:r>
    </w:p>
    <w:p w14:paraId="7F74E4E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、X</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、Y</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、T</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C</w:t>
      </w:r>
    </w:p>
    <w:p w14:paraId="3B8A59C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5D10CD0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w:t>
      </w:r>
      <w:r>
        <w:rPr>
          <w:rFonts w:hint="eastAsia" w:ascii="方正楷体_GB2312" w:hAnsi="方正楷体_GB2312" w:eastAsia="方正楷体_GB2312" w:cs="方正楷体_GB2312"/>
          <w:sz w:val="24"/>
          <w:szCs w:val="24"/>
          <w:lang w:val="en-US" w:eastAsia="zh-CN"/>
        </w:rPr>
        <w:t>91</w:t>
      </w:r>
      <w:r>
        <w:rPr>
          <w:rFonts w:hint="eastAsia" w:ascii="方正楷体_GB2312" w:hAnsi="方正楷体_GB2312" w:eastAsia="方正楷体_GB2312" w:cs="方正楷体_GB2312"/>
          <w:sz w:val="24"/>
          <w:szCs w:val="24"/>
        </w:rPr>
        <w:t>.高频振荡电感型接近开关的感应头附近有金属物体接近时，接近开关(  )。</w:t>
      </w:r>
    </w:p>
    <w:p w14:paraId="2A591D2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、涡流损耗减少</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、无信号输出</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、振荡电路工作</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、振荡减弱或停止</w:t>
      </w:r>
    </w:p>
    <w:p w14:paraId="38699BD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D</w:t>
      </w:r>
    </w:p>
    <w:p w14:paraId="440E0CF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w:t>
      </w:r>
      <w:r>
        <w:rPr>
          <w:rFonts w:hint="eastAsia" w:ascii="方正楷体_GB2312" w:hAnsi="方正楷体_GB2312" w:eastAsia="方正楷体_GB2312" w:cs="方正楷体_GB2312"/>
          <w:sz w:val="24"/>
          <w:szCs w:val="24"/>
          <w:lang w:val="en-US" w:eastAsia="zh-CN"/>
        </w:rPr>
        <w:t>92</w:t>
      </w:r>
      <w:r>
        <w:rPr>
          <w:rFonts w:hint="eastAsia" w:ascii="方正楷体_GB2312" w:hAnsi="方正楷体_GB2312" w:eastAsia="方正楷体_GB2312" w:cs="方正楷体_GB2312"/>
          <w:sz w:val="24"/>
          <w:szCs w:val="24"/>
        </w:rPr>
        <w:t>.串联型稳压电路的调整管工作在(  )状态。</w:t>
      </w:r>
    </w:p>
    <w:p w14:paraId="65B9839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、放大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、饱和</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、截止</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、导通</w:t>
      </w:r>
    </w:p>
    <w:p w14:paraId="2619B3C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3635804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w:t>
      </w:r>
      <w:r>
        <w:rPr>
          <w:rFonts w:hint="eastAsia" w:ascii="方正楷体_GB2312" w:hAnsi="方正楷体_GB2312" w:eastAsia="方正楷体_GB2312" w:cs="方正楷体_GB2312"/>
          <w:sz w:val="24"/>
          <w:szCs w:val="24"/>
          <w:lang w:val="en-US" w:eastAsia="zh-CN"/>
        </w:rPr>
        <w:t>93</w:t>
      </w:r>
      <w:r>
        <w:rPr>
          <w:rFonts w:hint="eastAsia" w:ascii="方正楷体_GB2312" w:hAnsi="方正楷体_GB2312" w:eastAsia="方正楷体_GB2312" w:cs="方正楷体_GB2312"/>
          <w:sz w:val="24"/>
          <w:szCs w:val="24"/>
        </w:rPr>
        <w:t>.以下属于多台电动机顺序控制的线路是(  )。</w:t>
      </w:r>
    </w:p>
    <w:p w14:paraId="123E758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、一台电动机正转时不能立即反转的控制线路</w:t>
      </w:r>
      <w:r>
        <w:rPr>
          <w:rFonts w:hint="eastAsia" w:ascii="方正楷体_GB2312" w:hAnsi="方正楷体_GB2312" w:eastAsia="方正楷体_GB2312" w:cs="方正楷体_GB2312"/>
          <w:sz w:val="24"/>
          <w:szCs w:val="24"/>
          <w:lang w:val="en-US" w:eastAsia="zh-CN"/>
        </w:rPr>
        <w:t xml:space="preserve">    </w:t>
      </w:r>
    </w:p>
    <w:p w14:paraId="16CDBF9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、Y-△启动控制线路</w:t>
      </w:r>
      <w:r>
        <w:rPr>
          <w:rFonts w:hint="eastAsia" w:ascii="方正楷体_GB2312" w:hAnsi="方正楷体_GB2312" w:eastAsia="方正楷体_GB2312" w:cs="方正楷体_GB2312"/>
          <w:sz w:val="24"/>
          <w:szCs w:val="24"/>
          <w:lang w:eastAsia="zh-CN"/>
        </w:rPr>
        <w:tab/>
      </w:r>
    </w:p>
    <w:p w14:paraId="4EB3833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、电梯先上升后下降的控制线路</w:t>
      </w:r>
      <w:r>
        <w:rPr>
          <w:rFonts w:hint="eastAsia" w:ascii="方正楷体_GB2312" w:hAnsi="方正楷体_GB2312" w:eastAsia="方正楷体_GB2312" w:cs="方正楷体_GB2312"/>
          <w:sz w:val="24"/>
          <w:szCs w:val="24"/>
          <w:lang w:val="en-US" w:eastAsia="zh-CN"/>
        </w:rPr>
        <w:t xml:space="preserve">  </w:t>
      </w:r>
    </w:p>
    <w:p w14:paraId="5EAB0A7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、电动机2可以单独停止，电动机1停止时电动机2也停止的控制线路</w:t>
      </w:r>
    </w:p>
    <w:p w14:paraId="000BD6B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05FEE6E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w:t>
      </w:r>
      <w:r>
        <w:rPr>
          <w:rFonts w:hint="eastAsia" w:ascii="方正楷体_GB2312" w:hAnsi="方正楷体_GB2312" w:eastAsia="方正楷体_GB2312" w:cs="方正楷体_GB2312"/>
          <w:sz w:val="24"/>
          <w:szCs w:val="24"/>
          <w:lang w:val="en-US" w:eastAsia="zh-CN"/>
        </w:rPr>
        <w:t>94</w:t>
      </w:r>
      <w:r>
        <w:rPr>
          <w:rFonts w:hint="eastAsia" w:ascii="方正楷体_GB2312" w:hAnsi="方正楷体_GB2312" w:eastAsia="方正楷体_GB2312" w:cs="方正楷体_GB2312"/>
          <w:sz w:val="24"/>
          <w:szCs w:val="24"/>
        </w:rPr>
        <w:t>.理想集成运放输出电阻为(  )。</w:t>
      </w:r>
    </w:p>
    <w:p w14:paraId="20126D4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720" w:firstLineChars="3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、10Ω</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、100Ω</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、0</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、1KΩ</w:t>
      </w:r>
    </w:p>
    <w:p w14:paraId="64CCEB5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49D5B9F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w:t>
      </w:r>
      <w:r>
        <w:rPr>
          <w:rFonts w:hint="eastAsia" w:ascii="方正楷体_GB2312" w:hAnsi="方正楷体_GB2312" w:eastAsia="方正楷体_GB2312" w:cs="方正楷体_GB2312"/>
          <w:sz w:val="24"/>
          <w:szCs w:val="24"/>
          <w:lang w:val="en-US" w:eastAsia="zh-CN"/>
        </w:rPr>
        <w:t>95</w:t>
      </w:r>
      <w:r>
        <w:rPr>
          <w:rFonts w:hint="eastAsia" w:ascii="方正楷体_GB2312" w:hAnsi="方正楷体_GB2312" w:eastAsia="方正楷体_GB2312" w:cs="方正楷体_GB2312"/>
          <w:sz w:val="24"/>
          <w:szCs w:val="24"/>
        </w:rPr>
        <w:t>.接通主电源后，软启动器虽处于待机状态，但电动机有嗡嗡响。此故障不可能的原因是(  )。</w:t>
      </w:r>
    </w:p>
    <w:p w14:paraId="69C3900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720" w:firstLineChars="3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、晶闸管短路故障</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、旁路接触器有触点粘连</w:t>
      </w:r>
      <w:r>
        <w:rPr>
          <w:rFonts w:hint="eastAsia" w:ascii="方正楷体_GB2312" w:hAnsi="方正楷体_GB2312" w:eastAsia="方正楷体_GB2312" w:cs="方正楷体_GB2312"/>
          <w:sz w:val="24"/>
          <w:szCs w:val="24"/>
          <w:lang w:eastAsia="zh-CN"/>
        </w:rPr>
        <w:tab/>
      </w:r>
    </w:p>
    <w:p w14:paraId="64402A0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720" w:firstLineChars="3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、触发电路不工作</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、启动线路接线错误</w:t>
      </w:r>
    </w:p>
    <w:p w14:paraId="15582B6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66E7929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196</w:t>
      </w:r>
      <w:r>
        <w:rPr>
          <w:rFonts w:hint="eastAsia" w:ascii="方正楷体_GB2312" w:hAnsi="方正楷体_GB2312" w:eastAsia="方正楷体_GB2312" w:cs="方正楷体_GB2312"/>
          <w:sz w:val="24"/>
          <w:szCs w:val="24"/>
        </w:rPr>
        <w:t>.直流电动机结构复杂、价格贵、制造麻烦、维护困难，但是启动性能好、(  )。</w:t>
      </w:r>
    </w:p>
    <w:p w14:paraId="753C91B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、调速范围大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、调速范围小</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、调速力矩大</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、调速力矩小</w:t>
      </w:r>
    </w:p>
    <w:p w14:paraId="324BB07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2043942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w:t>
      </w:r>
      <w:r>
        <w:rPr>
          <w:rFonts w:hint="eastAsia" w:ascii="方正楷体_GB2312" w:hAnsi="方正楷体_GB2312" w:eastAsia="方正楷体_GB2312" w:cs="方正楷体_GB2312"/>
          <w:sz w:val="24"/>
          <w:szCs w:val="24"/>
          <w:lang w:val="en-US" w:eastAsia="zh-CN"/>
        </w:rPr>
        <w:t>97</w:t>
      </w:r>
      <w:r>
        <w:rPr>
          <w:rFonts w:hint="eastAsia" w:ascii="方正楷体_GB2312" w:hAnsi="方正楷体_GB2312" w:eastAsia="方正楷体_GB2312" w:cs="方正楷体_GB2312"/>
          <w:sz w:val="24"/>
          <w:szCs w:val="24"/>
        </w:rPr>
        <w:t>.FX2N可编程序控制器</w:t>
      </w:r>
      <w:r>
        <w:rPr>
          <w:rFonts w:hint="eastAsia" w:ascii="方正楷体_GB2312" w:hAnsi="方正楷体_GB2312" w:eastAsia="方正楷体_GB2312" w:cs="方正楷体_GB2312"/>
          <w:sz w:val="24"/>
          <w:szCs w:val="24"/>
          <w:lang w:eastAsia="zh-CN"/>
        </w:rPr>
        <w:t>DC</w:t>
      </w:r>
      <w:r>
        <w:rPr>
          <w:rFonts w:hint="eastAsia" w:ascii="方正楷体_GB2312" w:hAnsi="方正楷体_GB2312" w:eastAsia="方正楷体_GB2312" w:cs="方正楷体_GB2312"/>
          <w:sz w:val="24"/>
          <w:szCs w:val="24"/>
        </w:rPr>
        <w:t>输入型，可以直接接入(  )信号。</w:t>
      </w:r>
    </w:p>
    <w:p w14:paraId="21A5FE6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、外部</w:t>
      </w:r>
      <w:r>
        <w:rPr>
          <w:rFonts w:hint="eastAsia" w:ascii="方正楷体_GB2312" w:hAnsi="方正楷体_GB2312" w:eastAsia="方正楷体_GB2312" w:cs="方正楷体_GB2312"/>
          <w:sz w:val="24"/>
          <w:szCs w:val="24"/>
          <w:lang w:eastAsia="zh-CN"/>
        </w:rPr>
        <w:t>DC</w:t>
      </w:r>
      <w:r>
        <w:rPr>
          <w:rFonts w:hint="eastAsia" w:ascii="方正楷体_GB2312" w:hAnsi="方正楷体_GB2312" w:eastAsia="方正楷体_GB2312" w:cs="方正楷体_GB2312"/>
          <w:sz w:val="24"/>
          <w:szCs w:val="24"/>
        </w:rPr>
        <w:t>24V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、4~20m</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电流</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AC</w:t>
      </w:r>
      <w:r>
        <w:rPr>
          <w:rFonts w:hint="eastAsia" w:ascii="方正楷体_GB2312" w:hAnsi="方正楷体_GB2312" w:eastAsia="方正楷体_GB2312" w:cs="方正楷体_GB2312"/>
          <w:sz w:val="24"/>
          <w:szCs w:val="24"/>
        </w:rPr>
        <w:t>24V</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DC</w:t>
      </w:r>
      <w:r>
        <w:rPr>
          <w:rFonts w:hint="eastAsia" w:ascii="方正楷体_GB2312" w:hAnsi="方正楷体_GB2312" w:eastAsia="方正楷体_GB2312" w:cs="方正楷体_GB2312"/>
          <w:sz w:val="24"/>
          <w:szCs w:val="24"/>
        </w:rPr>
        <w:t>0~5V电压</w:t>
      </w:r>
    </w:p>
    <w:p w14:paraId="6B6D3DD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11BCA61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w:t>
      </w:r>
      <w:r>
        <w:rPr>
          <w:rFonts w:hint="eastAsia" w:ascii="方正楷体_GB2312" w:hAnsi="方正楷体_GB2312" w:eastAsia="方正楷体_GB2312" w:cs="方正楷体_GB2312"/>
          <w:sz w:val="24"/>
          <w:szCs w:val="24"/>
          <w:lang w:val="en-US" w:eastAsia="zh-CN"/>
        </w:rPr>
        <w:t>98</w:t>
      </w:r>
      <w:r>
        <w:rPr>
          <w:rFonts w:hint="eastAsia" w:ascii="方正楷体_GB2312" w:hAnsi="方正楷体_GB2312" w:eastAsia="方正楷体_GB2312" w:cs="方正楷体_GB2312"/>
          <w:sz w:val="24"/>
          <w:szCs w:val="24"/>
        </w:rPr>
        <w:t>.单片集成功率放大器件的功率通常在(  )瓦左右。</w:t>
      </w:r>
    </w:p>
    <w:p w14:paraId="078697D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、10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、1</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、5</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、8</w:t>
      </w:r>
    </w:p>
    <w:p w14:paraId="482C56F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1C85436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1</w:t>
      </w:r>
      <w:r>
        <w:rPr>
          <w:rFonts w:hint="eastAsia" w:ascii="方正楷体_GB2312" w:hAnsi="方正楷体_GB2312" w:eastAsia="方正楷体_GB2312" w:cs="方正楷体_GB2312"/>
          <w:sz w:val="24"/>
          <w:szCs w:val="24"/>
          <w:lang w:val="en-US" w:eastAsia="zh-CN"/>
        </w:rPr>
        <w:t>99</w:t>
      </w:r>
      <w:r>
        <w:rPr>
          <w:rFonts w:hint="eastAsia" w:ascii="方正楷体_GB2312" w:hAnsi="方正楷体_GB2312" w:eastAsia="方正楷体_GB2312" w:cs="方正楷体_GB2312"/>
          <w:sz w:val="24"/>
          <w:szCs w:val="24"/>
        </w:rPr>
        <w:t>.对于晶体管输出型PL</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，要注意负载电源为(  )，并且不能超过额定值。</w:t>
      </w:r>
    </w:p>
    <w:p w14:paraId="4FABC6A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AC</w:t>
      </w:r>
      <w:r>
        <w:rPr>
          <w:rFonts w:hint="eastAsia" w:ascii="方正楷体_GB2312" w:hAnsi="方正楷体_GB2312" w:eastAsia="方正楷体_GB2312" w:cs="方正楷体_GB2312"/>
          <w:sz w:val="24"/>
          <w:szCs w:val="24"/>
        </w:rPr>
        <w:t>380V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AC</w:t>
      </w:r>
      <w:r>
        <w:rPr>
          <w:rFonts w:hint="eastAsia" w:ascii="方正楷体_GB2312" w:hAnsi="方正楷体_GB2312" w:eastAsia="方正楷体_GB2312" w:cs="方正楷体_GB2312"/>
          <w:sz w:val="24"/>
          <w:szCs w:val="24"/>
        </w:rPr>
        <w:t>220V</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DC</w:t>
      </w:r>
      <w:r>
        <w:rPr>
          <w:rFonts w:hint="eastAsia" w:ascii="方正楷体_GB2312" w:hAnsi="方正楷体_GB2312" w:eastAsia="方正楷体_GB2312" w:cs="方正楷体_GB2312"/>
          <w:sz w:val="24"/>
          <w:szCs w:val="24"/>
        </w:rPr>
        <w:t>220V</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DC</w:t>
      </w:r>
      <w:r>
        <w:rPr>
          <w:rFonts w:hint="eastAsia" w:ascii="方正楷体_GB2312" w:hAnsi="方正楷体_GB2312" w:eastAsia="方正楷体_GB2312" w:cs="方正楷体_GB2312"/>
          <w:sz w:val="24"/>
          <w:szCs w:val="24"/>
        </w:rPr>
        <w:t>24V</w:t>
      </w:r>
    </w:p>
    <w:p w14:paraId="057C6E3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7A5BD64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200</w:t>
      </w:r>
      <w:r>
        <w:rPr>
          <w:rFonts w:hint="eastAsia" w:ascii="方正楷体_GB2312" w:hAnsi="方正楷体_GB2312" w:eastAsia="方正楷体_GB2312" w:cs="方正楷体_GB2312"/>
          <w:sz w:val="24"/>
          <w:szCs w:val="24"/>
        </w:rPr>
        <w:t>.测量直流电压时应注意电压表的(  )。</w:t>
      </w:r>
    </w:p>
    <w:p w14:paraId="4C9CE1F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、量程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、极性</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、量程及极性</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、误差</w:t>
      </w:r>
    </w:p>
    <w:p w14:paraId="46431A7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03E4546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201</w:t>
      </w:r>
      <w:r>
        <w:rPr>
          <w:rFonts w:hint="eastAsia" w:ascii="方正楷体_GB2312" w:hAnsi="方正楷体_GB2312" w:eastAsia="方正楷体_GB2312" w:cs="方正楷体_GB2312"/>
          <w:sz w:val="24"/>
          <w:szCs w:val="24"/>
        </w:rPr>
        <w:t>.在FX2NPL</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中，M8000线圈用户可以使用(  )次。</w:t>
      </w:r>
    </w:p>
    <w:p w14:paraId="4F5AAB8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720" w:firstLineChars="3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、3</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、2</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、1</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、0</w:t>
      </w:r>
    </w:p>
    <w:p w14:paraId="60624F4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p>
    <w:p w14:paraId="6FC79CA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202</w:t>
      </w:r>
      <w:r>
        <w:rPr>
          <w:rFonts w:hint="eastAsia" w:ascii="方正楷体_GB2312" w:hAnsi="方正楷体_GB2312" w:eastAsia="方正楷体_GB2312" w:cs="方正楷体_GB2312"/>
          <w:sz w:val="24"/>
          <w:szCs w:val="24"/>
        </w:rPr>
        <w:t>.集成运放通常有(  )部分组成。</w:t>
      </w:r>
    </w:p>
    <w:p w14:paraId="5B1FFB2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、3</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、4</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、5</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、6</w:t>
      </w:r>
    </w:p>
    <w:p w14:paraId="4E85427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3F6A133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203</w:t>
      </w:r>
      <w:r>
        <w:rPr>
          <w:rFonts w:hint="eastAsia" w:ascii="方正楷体_GB2312" w:hAnsi="方正楷体_GB2312" w:eastAsia="方正楷体_GB2312" w:cs="方正楷体_GB2312"/>
          <w:sz w:val="24"/>
          <w:szCs w:val="24"/>
        </w:rPr>
        <w:t>.压力继电器选用时首先要考虑所测对象的压力范围，还要符合电路中的(  )，接口管径的大小。</w:t>
      </w:r>
    </w:p>
    <w:p w14:paraId="53FDC68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、功率因数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、额定电压</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、电阻率</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、相位差</w:t>
      </w:r>
    </w:p>
    <w:p w14:paraId="69AACE1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57823B8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204</w:t>
      </w:r>
      <w:r>
        <w:rPr>
          <w:rFonts w:hint="eastAsia" w:ascii="方正楷体_GB2312" w:hAnsi="方正楷体_GB2312" w:eastAsia="方正楷体_GB2312" w:cs="方正楷体_GB2312"/>
          <w:sz w:val="24"/>
          <w:szCs w:val="24"/>
        </w:rPr>
        <w:t>.三相异步电动机的优点是(  )。</w:t>
      </w:r>
    </w:p>
    <w:p w14:paraId="5CB1BF7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、调速性能好</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、交直流两用</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、功率因数高</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、结构简单</w:t>
      </w:r>
    </w:p>
    <w:p w14:paraId="2E87BF8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58A0FE3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205</w:t>
      </w:r>
      <w:r>
        <w:rPr>
          <w:rFonts w:hint="eastAsia" w:ascii="方正楷体_GB2312" w:hAnsi="方正楷体_GB2312" w:eastAsia="方正楷体_GB2312" w:cs="方正楷体_GB2312"/>
          <w:sz w:val="24"/>
          <w:szCs w:val="24"/>
        </w:rPr>
        <w:t>.调节电桥平衡时，若检流计指针向标有“+”的方向偏转时，说明(  )。</w:t>
      </w:r>
    </w:p>
    <w:p w14:paraId="03DEF7C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、通过检流计电流大、应增大比较臂的电阻</w:t>
      </w:r>
    </w:p>
    <w:p w14:paraId="74DBB73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、通过检流计电流小、应增大比较臂的电阻</w:t>
      </w:r>
      <w:r>
        <w:rPr>
          <w:rFonts w:hint="eastAsia" w:ascii="方正楷体_GB2312" w:hAnsi="方正楷体_GB2312" w:eastAsia="方正楷体_GB2312" w:cs="方正楷体_GB2312"/>
          <w:sz w:val="24"/>
          <w:szCs w:val="24"/>
          <w:lang w:eastAsia="zh-CN"/>
        </w:rPr>
        <w:tab/>
      </w:r>
    </w:p>
    <w:p w14:paraId="3790CB2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、通过检流计电流小、应减小比较臂的电阻</w:t>
      </w:r>
      <w:r>
        <w:rPr>
          <w:rFonts w:hint="eastAsia" w:ascii="方正楷体_GB2312" w:hAnsi="方正楷体_GB2312" w:eastAsia="方正楷体_GB2312" w:cs="方正楷体_GB2312"/>
          <w:sz w:val="24"/>
          <w:szCs w:val="24"/>
          <w:lang w:eastAsia="zh-CN"/>
        </w:rPr>
        <w:tab/>
      </w:r>
    </w:p>
    <w:p w14:paraId="3691B73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、通过检流计电流大、应减小比较臂的电阻</w:t>
      </w:r>
    </w:p>
    <w:p w14:paraId="15DD42D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562FD63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206</w:t>
      </w:r>
      <w:r>
        <w:rPr>
          <w:rFonts w:hint="eastAsia" w:ascii="方正楷体_GB2312" w:hAnsi="方正楷体_GB2312" w:eastAsia="方正楷体_GB2312" w:cs="方正楷体_GB2312"/>
          <w:sz w:val="24"/>
          <w:szCs w:val="24"/>
        </w:rPr>
        <w:t>.直流电动机启动时，随着转速的上升，要(  )电枢回路的电阻。</w:t>
      </w:r>
    </w:p>
    <w:p w14:paraId="653348E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720" w:firstLineChars="3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、先增大后减小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、保持不变</w:t>
      </w:r>
      <w:r>
        <w:rPr>
          <w:rFonts w:hint="eastAsia" w:ascii="方正楷体_GB2312" w:hAnsi="方正楷体_GB2312" w:eastAsia="方正楷体_GB2312" w:cs="方正楷体_GB2312"/>
          <w:sz w:val="24"/>
          <w:szCs w:val="24"/>
          <w:lang w:eastAsia="zh-CN"/>
        </w:rPr>
        <w:tab/>
      </w:r>
    </w:p>
    <w:p w14:paraId="375621E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720" w:firstLineChars="30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、逐渐增大</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、逐渐减小</w:t>
      </w:r>
    </w:p>
    <w:p w14:paraId="2DBEB0C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35B9E48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207</w:t>
      </w:r>
      <w:r>
        <w:rPr>
          <w:rFonts w:hint="eastAsia" w:ascii="方正楷体_GB2312" w:hAnsi="方正楷体_GB2312" w:eastAsia="方正楷体_GB2312" w:cs="方正楷体_GB2312"/>
          <w:sz w:val="24"/>
          <w:szCs w:val="24"/>
        </w:rPr>
        <w:t>.Z3040摇臂钻床中液压泵电动机的正反转具有(  )功能。</w:t>
      </w:r>
    </w:p>
    <w:p w14:paraId="52A4F07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、接触器互锁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、双重互锁</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、按钮互锁</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、电磁阀互锁</w:t>
      </w:r>
    </w:p>
    <w:p w14:paraId="309FF25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62EBF86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208</w:t>
      </w:r>
      <w:r>
        <w:rPr>
          <w:rFonts w:hint="eastAsia" w:ascii="方正楷体_GB2312" w:hAnsi="方正楷体_GB2312" w:eastAsia="方正楷体_GB2312" w:cs="方正楷体_GB2312"/>
          <w:sz w:val="24"/>
          <w:szCs w:val="24"/>
        </w:rPr>
        <w:t>.串联正弦交流电路的视在功率表征了该电路的(  )。</w:t>
      </w:r>
    </w:p>
    <w:p w14:paraId="0FDBF08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、电路中总电压有效值与电流有效值的乘积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、平均功率</w:t>
      </w:r>
      <w:r>
        <w:rPr>
          <w:rFonts w:hint="eastAsia" w:ascii="方正楷体_GB2312" w:hAnsi="方正楷体_GB2312" w:eastAsia="方正楷体_GB2312" w:cs="方正楷体_GB2312"/>
          <w:sz w:val="24"/>
          <w:szCs w:val="24"/>
          <w:lang w:eastAsia="zh-CN"/>
        </w:rPr>
        <w:tab/>
      </w:r>
    </w:p>
    <w:p w14:paraId="6E2CAB3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、瞬时功率最大值</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、无功功率</w:t>
      </w:r>
    </w:p>
    <w:p w14:paraId="4C1D6E3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0D4B7D9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209</w:t>
      </w:r>
      <w:r>
        <w:rPr>
          <w:rFonts w:hint="eastAsia" w:ascii="方正楷体_GB2312" w:hAnsi="方正楷体_GB2312" w:eastAsia="方正楷体_GB2312" w:cs="方正楷体_GB2312"/>
          <w:sz w:val="24"/>
          <w:szCs w:val="24"/>
        </w:rPr>
        <w:t>.三相异步电动机再生制动时，将机械能转换为电能，回馈到(  )。</w:t>
      </w:r>
    </w:p>
    <w:p w14:paraId="4C58098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、负载</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、转子绕组</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、定子绕组</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、电网</w:t>
      </w:r>
    </w:p>
    <w:p w14:paraId="1163D97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4C92BF4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210</w:t>
      </w:r>
      <w:r>
        <w:rPr>
          <w:rFonts w:hint="eastAsia" w:ascii="方正楷体_GB2312" w:hAnsi="方正楷体_GB2312" w:eastAsia="方正楷体_GB2312" w:cs="方正楷体_GB2312"/>
          <w:sz w:val="24"/>
          <w:szCs w:val="24"/>
        </w:rPr>
        <w:t>.一般中型工厂的电源进线电压是(  )。</w:t>
      </w:r>
    </w:p>
    <w:p w14:paraId="034677F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、380kV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、220kV</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、10kV</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、400V</w:t>
      </w:r>
    </w:p>
    <w:p w14:paraId="07CCE49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63D6DA0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211</w:t>
      </w:r>
      <w:r>
        <w:rPr>
          <w:rFonts w:hint="eastAsia" w:ascii="方正楷体_GB2312" w:hAnsi="方正楷体_GB2312" w:eastAsia="方正楷体_GB2312" w:cs="方正楷体_GB2312"/>
          <w:sz w:val="24"/>
          <w:szCs w:val="24"/>
        </w:rPr>
        <w:t>.FX2N可编程序控制器如果是晶体管输出型，可以(  )。</w:t>
      </w:r>
    </w:p>
    <w:p w14:paraId="19145A8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、驱动大功率直流负载</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、直接驱动交流指示灯</w:t>
      </w:r>
      <w:r>
        <w:rPr>
          <w:rFonts w:hint="eastAsia" w:ascii="方正楷体_GB2312" w:hAnsi="方正楷体_GB2312" w:eastAsia="方正楷体_GB2312" w:cs="方正楷体_GB2312"/>
          <w:sz w:val="24"/>
          <w:szCs w:val="24"/>
          <w:lang w:eastAsia="zh-CN"/>
        </w:rPr>
        <w:tab/>
      </w:r>
    </w:p>
    <w:p w14:paraId="67119D2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20"/>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、驱动额定电流下的交流负载</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、输出高速脉冲</w:t>
      </w:r>
    </w:p>
    <w:p w14:paraId="602869A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1F42A01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212</w:t>
      </w:r>
      <w:r>
        <w:rPr>
          <w:rFonts w:hint="eastAsia" w:ascii="方正楷体_GB2312" w:hAnsi="方正楷体_GB2312" w:eastAsia="方正楷体_GB2312" w:cs="方正楷体_GB2312"/>
          <w:sz w:val="24"/>
          <w:szCs w:val="24"/>
        </w:rPr>
        <w:t>.西门子MM420变频器的主电路电源端子(  )需经交流接触器和保护用断路器与三相电源连接。但不宜采用主电路的通、断进行变频器的运行与停止操作。</w:t>
      </w:r>
    </w:p>
    <w:p w14:paraId="088485E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、X、Y、Z</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、U、V、W</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、L1、L2、L3</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p>
    <w:p w14:paraId="35C9CD1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02B7DEA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212</w:t>
      </w:r>
      <w:r>
        <w:rPr>
          <w:rFonts w:hint="eastAsia" w:ascii="方正楷体_GB2312" w:hAnsi="方正楷体_GB2312" w:eastAsia="方正楷体_GB2312" w:cs="方正楷体_GB2312"/>
          <w:sz w:val="24"/>
          <w:szCs w:val="24"/>
        </w:rPr>
        <w:t>.点接触型二极管应用于(  )。</w:t>
      </w:r>
    </w:p>
    <w:p w14:paraId="054CD22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、整流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、稳压</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、开关</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、光敏</w:t>
      </w:r>
    </w:p>
    <w:p w14:paraId="34A37DC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12C9D89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213</w:t>
      </w:r>
      <w:r>
        <w:rPr>
          <w:rFonts w:hint="eastAsia" w:ascii="方正楷体_GB2312" w:hAnsi="方正楷体_GB2312" w:eastAsia="方正楷体_GB2312" w:cs="方正楷体_GB2312"/>
          <w:sz w:val="24"/>
          <w:szCs w:val="24"/>
        </w:rPr>
        <w:t>.单相桥式可控整流电路电阻性负载，晶闸管中的电流平均值是负载的(  )倍。</w:t>
      </w:r>
    </w:p>
    <w:p w14:paraId="0D025B6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、0.5</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、1</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、2</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、0.25</w:t>
      </w:r>
    </w:p>
    <w:p w14:paraId="05AC867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0DAB999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214</w:t>
      </w:r>
      <w:r>
        <w:rPr>
          <w:rFonts w:hint="eastAsia" w:ascii="方正楷体_GB2312" w:hAnsi="方正楷体_GB2312" w:eastAsia="方正楷体_GB2312" w:cs="方正楷体_GB2312"/>
          <w:sz w:val="24"/>
          <w:szCs w:val="24"/>
        </w:rPr>
        <w:t>.直流电动机弱磁调速时，转速只能从额定转速(  )。</w:t>
      </w:r>
    </w:p>
    <w:p w14:paraId="3E7BA42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、降低一倍</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、开始反转</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、往上升</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、往下降</w:t>
      </w:r>
    </w:p>
    <w:p w14:paraId="6D36A4A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082F2E9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215</w:t>
      </w:r>
      <w:r>
        <w:rPr>
          <w:rFonts w:hint="eastAsia" w:ascii="方正楷体_GB2312" w:hAnsi="方正楷体_GB2312" w:eastAsia="方正楷体_GB2312" w:cs="方正楷体_GB2312"/>
          <w:sz w:val="24"/>
          <w:szCs w:val="24"/>
        </w:rPr>
        <w:t>.直流电动机的定子由机座、主磁极、换向极、(  )、端盖等组成。</w:t>
      </w:r>
    </w:p>
    <w:p w14:paraId="4ED8E85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、转轴</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、电刷装置</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、电枢</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、换向器</w:t>
      </w:r>
    </w:p>
    <w:p w14:paraId="58A7ADA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1CF371C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216</w:t>
      </w:r>
      <w:r>
        <w:rPr>
          <w:rFonts w:hint="eastAsia" w:ascii="方正楷体_GB2312" w:hAnsi="方正楷体_GB2312" w:eastAsia="方正楷体_GB2312" w:cs="方正楷体_GB2312"/>
          <w:sz w:val="24"/>
          <w:szCs w:val="24"/>
        </w:rPr>
        <w:t>.软启动器的日常维护一定要由(  )进行操作。</w:t>
      </w:r>
    </w:p>
    <w:p w14:paraId="370DD00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、专业技术人员</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、使用人员</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、设备管理部门</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、销售服务人员</w:t>
      </w:r>
    </w:p>
    <w:p w14:paraId="6A44A46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37A1F0A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217</w:t>
      </w:r>
      <w:r>
        <w:rPr>
          <w:rFonts w:hint="eastAsia" w:ascii="方正楷体_GB2312" w:hAnsi="方正楷体_GB2312" w:eastAsia="方正楷体_GB2312" w:cs="方正楷体_GB2312"/>
          <w:sz w:val="24"/>
          <w:szCs w:val="24"/>
        </w:rPr>
        <w:t>.M7130平面磨床控制电路中的两个热继电器常闭触点的连接方法是(  )。</w:t>
      </w:r>
    </w:p>
    <w:p w14:paraId="300CE98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、并联</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、串联</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、混联</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、独立</w:t>
      </w:r>
    </w:p>
    <w:p w14:paraId="33C2641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6180F15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218</w:t>
      </w:r>
      <w:r>
        <w:rPr>
          <w:rFonts w:hint="eastAsia" w:ascii="方正楷体_GB2312" w:hAnsi="方正楷体_GB2312" w:eastAsia="方正楷体_GB2312" w:cs="方正楷体_GB2312"/>
          <w:sz w:val="24"/>
          <w:szCs w:val="24"/>
        </w:rPr>
        <w:t>.用PL</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控制可以节省大量继电器接触器控制电路中的(  )。</w:t>
      </w:r>
    </w:p>
    <w:p w14:paraId="19CEE6E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、交流接触器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、熔断器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、开关</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、中间继电器和时间继电器</w:t>
      </w:r>
    </w:p>
    <w:p w14:paraId="2C1560D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6FBA6A6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219</w:t>
      </w:r>
      <w:r>
        <w:rPr>
          <w:rFonts w:hint="eastAsia" w:ascii="方正楷体_GB2312" w:hAnsi="方正楷体_GB2312" w:eastAsia="方正楷体_GB2312" w:cs="方正楷体_GB2312"/>
          <w:sz w:val="24"/>
          <w:szCs w:val="24"/>
        </w:rPr>
        <w:t>.断路器中过电流脱扣器的额定电流应该大于等于线路的(  )。</w:t>
      </w:r>
    </w:p>
    <w:p w14:paraId="53C3662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、最大允许电流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、最大过载电流</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、最大负载电流</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、最大短路电流</w:t>
      </w:r>
    </w:p>
    <w:p w14:paraId="10F3649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582603C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220</w:t>
      </w:r>
      <w:r>
        <w:rPr>
          <w:rFonts w:hint="eastAsia" w:ascii="方正楷体_GB2312" w:hAnsi="方正楷体_GB2312" w:eastAsia="方正楷体_GB2312" w:cs="方正楷体_GB2312"/>
          <w:sz w:val="24"/>
          <w:szCs w:val="24"/>
        </w:rPr>
        <w:t>.一台使用多年的250kW电动机拖动鼓风机，经变频改造运行二个月后常出现过流跳闸。故障的原因可能是(  )。</w:t>
      </w:r>
    </w:p>
    <w:p w14:paraId="0424826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、变频器选配不当</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、变频器参数设置不当</w:t>
      </w:r>
      <w:r>
        <w:rPr>
          <w:rFonts w:hint="eastAsia" w:ascii="方正楷体_GB2312" w:hAnsi="方正楷体_GB2312" w:eastAsia="方正楷体_GB2312" w:cs="方正楷体_GB2312"/>
          <w:sz w:val="24"/>
          <w:szCs w:val="24"/>
          <w:lang w:eastAsia="zh-CN"/>
        </w:rPr>
        <w:tab/>
      </w:r>
    </w:p>
    <w:p w14:paraId="69E9525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、变频供电的高频谐波使电机绝缘加速老化</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、负载有时过重</w:t>
      </w:r>
    </w:p>
    <w:p w14:paraId="2A42ED8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5AAD9B3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221</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6150车床主轴电动机通过(  )控制正反转。</w:t>
      </w:r>
    </w:p>
    <w:p w14:paraId="6D77AC0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、手柄</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、接触器</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、断路器</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、热继电器</w:t>
      </w:r>
    </w:p>
    <w:p w14:paraId="653F924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2882554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222</w:t>
      </w:r>
      <w:r>
        <w:rPr>
          <w:rFonts w:hint="eastAsia" w:ascii="方正楷体_GB2312" w:hAnsi="方正楷体_GB2312" w:eastAsia="方正楷体_GB2312" w:cs="方正楷体_GB2312"/>
          <w:sz w:val="24"/>
          <w:szCs w:val="24"/>
        </w:rPr>
        <w:t>.双向晶闸管的额定电流是用(  )来表示的。</w:t>
      </w:r>
    </w:p>
    <w:p w14:paraId="3FD3438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、有效值</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、最大值</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、平均值</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、最小值</w:t>
      </w:r>
    </w:p>
    <w:p w14:paraId="2592D73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63BC72A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223</w:t>
      </w:r>
      <w:r>
        <w:rPr>
          <w:rFonts w:hint="eastAsia" w:ascii="方正楷体_GB2312" w:hAnsi="方正楷体_GB2312" w:eastAsia="方正楷体_GB2312" w:cs="方正楷体_GB2312"/>
          <w:sz w:val="24"/>
          <w:szCs w:val="24"/>
        </w:rPr>
        <w:t>.PL</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梯形图编程时，右端输出继电器的线圈能并联(  )个。</w:t>
      </w:r>
    </w:p>
    <w:p w14:paraId="3923353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、一</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、不限</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、〇</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、二</w:t>
      </w:r>
    </w:p>
    <w:p w14:paraId="5AFA2E6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2829D9D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224</w:t>
      </w:r>
      <w:r>
        <w:rPr>
          <w:rFonts w:hint="eastAsia" w:ascii="方正楷体_GB2312" w:hAnsi="方正楷体_GB2312" w:eastAsia="方正楷体_GB2312" w:cs="方正楷体_GB2312"/>
          <w:sz w:val="24"/>
          <w:szCs w:val="24"/>
        </w:rPr>
        <w:t>.M7130平面磨床中，电磁吸盘退磁不好使工件取下困难，但退磁电路正常，退磁电压也正常，则需要检查和调整(  )。</w:t>
      </w:r>
    </w:p>
    <w:p w14:paraId="61F8DBA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、退磁功率</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、退磁频率</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、退磁电流</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、退磁时间</w:t>
      </w:r>
    </w:p>
    <w:p w14:paraId="1B8E437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507EF30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225</w:t>
      </w:r>
      <w:r>
        <w:rPr>
          <w:rFonts w:hint="eastAsia" w:ascii="方正楷体_GB2312" w:hAnsi="方正楷体_GB2312" w:eastAsia="方正楷体_GB2312" w:cs="方正楷体_GB2312"/>
          <w:sz w:val="24"/>
          <w:szCs w:val="24"/>
        </w:rPr>
        <w:t>.三菱GX</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eveloperPL</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编程软件可以对(  )PL</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进行编程。</w:t>
      </w:r>
    </w:p>
    <w:p w14:paraId="4AD8FB2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系列</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、Q系列</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、FX系列</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、以上都可以</w:t>
      </w:r>
    </w:p>
    <w:p w14:paraId="021D480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2514958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226</w:t>
      </w:r>
      <w:r>
        <w:rPr>
          <w:rFonts w:hint="eastAsia" w:ascii="方正楷体_GB2312" w:hAnsi="方正楷体_GB2312" w:eastAsia="方正楷体_GB2312" w:cs="方正楷体_GB2312"/>
          <w:sz w:val="24"/>
          <w:szCs w:val="24"/>
        </w:rPr>
        <w:t>.M7130平面磨床中砂轮电动机的热继电器动作的原因之一是(  )。</w:t>
      </w:r>
    </w:p>
    <w:p w14:paraId="57C8EBA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、电源熔断器FU1烧断两个</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、砂轮进给量过大</w:t>
      </w:r>
      <w:r>
        <w:rPr>
          <w:rFonts w:hint="eastAsia" w:ascii="方正楷体_GB2312" w:hAnsi="方正楷体_GB2312" w:eastAsia="方正楷体_GB2312" w:cs="方正楷体_GB2312"/>
          <w:sz w:val="24"/>
          <w:szCs w:val="24"/>
          <w:lang w:eastAsia="zh-CN"/>
        </w:rPr>
        <w:tab/>
      </w:r>
    </w:p>
    <w:p w14:paraId="616FBA6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、液压泵电动机过载</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、接插器X2接触不良</w:t>
      </w:r>
    </w:p>
    <w:p w14:paraId="1E90C82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0962817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227</w:t>
      </w:r>
      <w:r>
        <w:rPr>
          <w:rFonts w:hint="eastAsia" w:ascii="方正楷体_GB2312" w:hAnsi="方正楷体_GB2312" w:eastAsia="方正楷体_GB2312" w:cs="方正楷体_GB2312"/>
          <w:sz w:val="24"/>
          <w:szCs w:val="24"/>
        </w:rPr>
        <w:t>.在市场经济条件下，职业道德具有(  )的社会功能。</w:t>
      </w:r>
    </w:p>
    <w:p w14:paraId="0593643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、鼓励人们自由选择职业</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、遏制牟利最大化</w:t>
      </w:r>
      <w:r>
        <w:rPr>
          <w:rFonts w:hint="eastAsia" w:ascii="方正楷体_GB2312" w:hAnsi="方正楷体_GB2312" w:eastAsia="方正楷体_GB2312" w:cs="方正楷体_GB2312"/>
          <w:sz w:val="24"/>
          <w:szCs w:val="24"/>
          <w:lang w:eastAsia="zh-CN"/>
        </w:rPr>
        <w:tab/>
      </w:r>
    </w:p>
    <w:p w14:paraId="68A354B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、促进人们的行为规范化</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、最大限度地克服人们受利益驱动</w:t>
      </w:r>
    </w:p>
    <w:p w14:paraId="4643AF4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75DB697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228</w:t>
      </w:r>
      <w:r>
        <w:rPr>
          <w:rFonts w:hint="eastAsia" w:ascii="方正楷体_GB2312" w:hAnsi="方正楷体_GB2312" w:eastAsia="方正楷体_GB2312" w:cs="方正楷体_GB2312"/>
          <w:sz w:val="24"/>
          <w:szCs w:val="24"/>
        </w:rPr>
        <w:t>.磁感应强度</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与磁场强度H的关系为(  )。</w:t>
      </w:r>
    </w:p>
    <w:p w14:paraId="09E40A1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、H=μ</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=μH</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、H=μ0</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=μ0</w:t>
      </w:r>
      <w:r>
        <w:rPr>
          <w:rFonts w:hint="eastAsia" w:ascii="方正楷体_GB2312" w:hAnsi="方正楷体_GB2312" w:eastAsia="方正楷体_GB2312" w:cs="方正楷体_GB2312"/>
          <w:sz w:val="24"/>
          <w:szCs w:val="24"/>
          <w:lang w:eastAsia="zh-CN"/>
        </w:rPr>
        <w:t>B</w:t>
      </w:r>
    </w:p>
    <w:p w14:paraId="63A6FAD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60EDE87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229</w:t>
      </w:r>
      <w:r>
        <w:rPr>
          <w:rFonts w:hint="eastAsia" w:ascii="方正楷体_GB2312" w:hAnsi="方正楷体_GB2312" w:eastAsia="方正楷体_GB2312" w:cs="方正楷体_GB2312"/>
          <w:sz w:val="24"/>
          <w:szCs w:val="24"/>
        </w:rPr>
        <w:t>.分压式偏置共射放大电路，更换β大的管子，其静态值I</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Q会(  )。</w:t>
      </w:r>
    </w:p>
    <w:p w14:paraId="4408908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、增大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、变小</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、不变</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、无法确定</w:t>
      </w:r>
    </w:p>
    <w:p w14:paraId="1A9BEC0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53CFA9D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230</w:t>
      </w:r>
      <w:r>
        <w:rPr>
          <w:rFonts w:hint="eastAsia" w:ascii="方正楷体_GB2312" w:hAnsi="方正楷体_GB2312" w:eastAsia="方正楷体_GB2312" w:cs="方正楷体_GB2312"/>
          <w:sz w:val="24"/>
          <w:szCs w:val="24"/>
        </w:rPr>
        <w:t>.根据电动机自动往返梯形图，下列指令正确的是(  )。</w:t>
      </w:r>
    </w:p>
    <w:p w14:paraId="68BB5EC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、L</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I X002</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N</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X001</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、OR Y002</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N</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Y001</w:t>
      </w:r>
    </w:p>
    <w:p w14:paraId="53A7D0C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p>
    <w:p w14:paraId="495FED7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231</w:t>
      </w:r>
      <w:r>
        <w:rPr>
          <w:rFonts w:hint="eastAsia" w:ascii="方正楷体_GB2312" w:hAnsi="方正楷体_GB2312" w:eastAsia="方正楷体_GB2312" w:cs="方正楷体_GB2312"/>
          <w:sz w:val="24"/>
          <w:szCs w:val="24"/>
        </w:rPr>
        <w:t>.L</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选频振荡电路，当电路频率小于谐振频率时，电路性质为(  )。</w:t>
      </w:r>
    </w:p>
    <w:p w14:paraId="0F61B3C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、电阻性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、感性</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、容性</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、纯电容性</w:t>
      </w:r>
    </w:p>
    <w:p w14:paraId="6E4EDAD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187F3A3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232</w:t>
      </w:r>
      <w:r>
        <w:rPr>
          <w:rFonts w:hint="eastAsia" w:ascii="方正楷体_GB2312" w:hAnsi="方正楷体_GB2312" w:eastAsia="方正楷体_GB2312" w:cs="方正楷体_GB2312"/>
          <w:sz w:val="24"/>
          <w:szCs w:val="24"/>
        </w:rPr>
        <w:t>.直流串励电动机需要反转时，一般将(  )两头反接。</w:t>
      </w:r>
    </w:p>
    <w:p w14:paraId="162F02F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、励磁绕组</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、电枢绕组</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、补偿绕组</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、换向绕组</w:t>
      </w:r>
    </w:p>
    <w:p w14:paraId="50B3937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354CAE6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233</w:t>
      </w:r>
      <w:r>
        <w:rPr>
          <w:rFonts w:hint="eastAsia" w:ascii="方正楷体_GB2312" w:hAnsi="方正楷体_GB2312" w:eastAsia="方正楷体_GB2312" w:cs="方正楷体_GB2312"/>
          <w:sz w:val="24"/>
          <w:szCs w:val="24"/>
        </w:rPr>
        <w:t>.不符合文明生产要求的做法是(  )。</w:t>
      </w:r>
    </w:p>
    <w:p w14:paraId="5C90543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、爱惜企业的设备、工具和材料</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、下班前搞好工作现场的环境卫生</w:t>
      </w:r>
      <w:r>
        <w:rPr>
          <w:rFonts w:hint="eastAsia" w:ascii="方正楷体_GB2312" w:hAnsi="方正楷体_GB2312" w:eastAsia="方正楷体_GB2312" w:cs="方正楷体_GB2312"/>
          <w:sz w:val="24"/>
          <w:szCs w:val="24"/>
          <w:lang w:eastAsia="zh-CN"/>
        </w:rPr>
        <w:tab/>
      </w:r>
    </w:p>
    <w:p w14:paraId="0916394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、工具使用后按规定放置到工具箱中</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、冒险带电作业</w:t>
      </w:r>
    </w:p>
    <w:p w14:paraId="50538CA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18EF05D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234</w:t>
      </w:r>
      <w:r>
        <w:rPr>
          <w:rFonts w:hint="eastAsia" w:ascii="方正楷体_GB2312" w:hAnsi="方正楷体_GB2312" w:eastAsia="方正楷体_GB2312" w:cs="方正楷体_GB2312"/>
          <w:sz w:val="24"/>
          <w:szCs w:val="24"/>
        </w:rPr>
        <w:t>.在一个PL</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程序中，同一地址号的线圈只能使用(  )次。</w:t>
      </w:r>
    </w:p>
    <w:p w14:paraId="7D7A66B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、三</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、二</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、一</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、无限</w:t>
      </w:r>
    </w:p>
    <w:p w14:paraId="09C1717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3BCD7C3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235</w:t>
      </w:r>
      <w:r>
        <w:rPr>
          <w:rFonts w:hint="eastAsia" w:ascii="方正楷体_GB2312" w:hAnsi="方正楷体_GB2312" w:eastAsia="方正楷体_GB2312" w:cs="方正楷体_GB2312"/>
          <w:sz w:val="24"/>
          <w:szCs w:val="24"/>
        </w:rPr>
        <w:t>.可编程序控制器通过编程可以灵活地改变(  )，实现改变常规电气控制电路的目的。</w:t>
      </w:r>
    </w:p>
    <w:p w14:paraId="0836557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、主电路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、硬接线</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、控制电路</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、控制程序</w:t>
      </w:r>
    </w:p>
    <w:p w14:paraId="6791F13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2A9F780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236</w:t>
      </w:r>
      <w:r>
        <w:rPr>
          <w:rFonts w:hint="eastAsia" w:ascii="方正楷体_GB2312" w:hAnsi="方正楷体_GB2312" w:eastAsia="方正楷体_GB2312" w:cs="方正楷体_GB2312"/>
          <w:sz w:val="24"/>
          <w:szCs w:val="24"/>
        </w:rPr>
        <w:t>.三相电动势到达最大的顺序是不同的，这种达到最大值的先后次序，称三相电源的相序，相序为U-V-W-U，称为(  )。</w:t>
      </w:r>
    </w:p>
    <w:p w14:paraId="6EEDEF0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、正序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、负序</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、逆序</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、相序</w:t>
      </w:r>
    </w:p>
    <w:p w14:paraId="191C8CD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503F1AA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237</w:t>
      </w:r>
      <w:r>
        <w:rPr>
          <w:rFonts w:hint="eastAsia" w:ascii="方正楷体_GB2312" w:hAnsi="方正楷体_GB2312" w:eastAsia="方正楷体_GB2312" w:cs="方正楷体_GB2312"/>
          <w:sz w:val="24"/>
          <w:szCs w:val="24"/>
        </w:rPr>
        <w:t>.串联型稳压电路的调整管工作在(  )状态。</w:t>
      </w:r>
    </w:p>
    <w:p w14:paraId="16C3B39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、放大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、饱和</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、截止</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、导通</w:t>
      </w:r>
    </w:p>
    <w:p w14:paraId="052FA30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3AF5528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238</w:t>
      </w:r>
      <w:r>
        <w:rPr>
          <w:rFonts w:hint="eastAsia" w:ascii="方正楷体_GB2312" w:hAnsi="方正楷体_GB2312" w:eastAsia="方正楷体_GB2312" w:cs="方正楷体_GB2312"/>
          <w:sz w:val="24"/>
          <w:szCs w:val="24"/>
        </w:rPr>
        <w:t>.三相异步电动机能耗制动时定子绕组中通入(  )。</w:t>
      </w:r>
    </w:p>
    <w:p w14:paraId="07B3952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、直流电</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、单相交流电</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、三相交流电</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、逆序交流电</w:t>
      </w:r>
    </w:p>
    <w:p w14:paraId="6E273EB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725081C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239</w:t>
      </w:r>
      <w:r>
        <w:rPr>
          <w:rFonts w:hint="eastAsia" w:ascii="方正楷体_GB2312" w:hAnsi="方正楷体_GB2312" w:eastAsia="方正楷体_GB2312" w:cs="方正楷体_GB2312"/>
          <w:sz w:val="24"/>
          <w:szCs w:val="24"/>
        </w:rPr>
        <w:t>.三端集成稳压电路W7905,其输出电压为(  )V。</w:t>
      </w:r>
    </w:p>
    <w:p w14:paraId="1BFB6B6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、+5</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、-5</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、7</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、8</w:t>
      </w:r>
    </w:p>
    <w:p w14:paraId="2399192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299F3D4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240</w:t>
      </w:r>
      <w:r>
        <w:rPr>
          <w:rFonts w:hint="eastAsia" w:ascii="方正楷体_GB2312" w:hAnsi="方正楷体_GB2312" w:eastAsia="方正楷体_GB2312" w:cs="方正楷体_GB2312"/>
          <w:sz w:val="24"/>
          <w:szCs w:val="24"/>
        </w:rPr>
        <w:t>.变频器有时出现轻载时过电流保护，原因可能是(  )。</w:t>
      </w:r>
    </w:p>
    <w:p w14:paraId="104652A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、变频器选配不当</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、U/f比值过小</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、变频器电路故障</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、U/f比值过大</w:t>
      </w:r>
    </w:p>
    <w:p w14:paraId="43EAAEA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6EB27C0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241</w:t>
      </w:r>
      <w:r>
        <w:rPr>
          <w:rFonts w:hint="eastAsia" w:ascii="方正楷体_GB2312" w:hAnsi="方正楷体_GB2312" w:eastAsia="方正楷体_GB2312" w:cs="方正楷体_GB2312"/>
          <w:sz w:val="24"/>
          <w:szCs w:val="24"/>
        </w:rPr>
        <w:t>.软启动器的功能调节参数有:运行参数、(  )、停车参数。</w:t>
      </w:r>
    </w:p>
    <w:p w14:paraId="108EBA4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、电阻参数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、启动参数</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、电子参数</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、电源参数</w:t>
      </w:r>
    </w:p>
    <w:p w14:paraId="4238878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5DDC6BE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242</w:t>
      </w:r>
      <w:r>
        <w:rPr>
          <w:rFonts w:hint="eastAsia" w:ascii="方正楷体_GB2312" w:hAnsi="方正楷体_GB2312" w:eastAsia="方正楷体_GB2312" w:cs="方正楷体_GB2312"/>
          <w:sz w:val="24"/>
          <w:szCs w:val="24"/>
        </w:rPr>
        <w:t>.下列集成运放的应用能将矩形波变为三角波的是(  )。</w:t>
      </w:r>
    </w:p>
    <w:p w14:paraId="10C5E6F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、比例应用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、加法应用</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、积分应用</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、比较器</w:t>
      </w:r>
    </w:p>
    <w:p w14:paraId="40B5909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4844489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243</w:t>
      </w:r>
      <w:r>
        <w:rPr>
          <w:rFonts w:hint="eastAsia" w:ascii="方正楷体_GB2312" w:hAnsi="方正楷体_GB2312" w:eastAsia="方正楷体_GB2312" w:cs="方正楷体_GB2312"/>
          <w:sz w:val="24"/>
          <w:szCs w:val="24"/>
        </w:rPr>
        <w:t>.固定偏置共射极放大电路，已知R</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=300KΩ，R</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=4KΩ，Vcc=12V，β=50，则I</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Q为(  )。</w:t>
      </w:r>
    </w:p>
    <w:p w14:paraId="29E0548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、40μ</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、30μ</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、40m</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、10μ</w:t>
      </w:r>
      <w:r>
        <w:rPr>
          <w:rFonts w:hint="eastAsia" w:ascii="方正楷体_GB2312" w:hAnsi="方正楷体_GB2312" w:eastAsia="方正楷体_GB2312" w:cs="方正楷体_GB2312"/>
          <w:sz w:val="24"/>
          <w:szCs w:val="24"/>
          <w:lang w:eastAsia="zh-CN"/>
        </w:rPr>
        <w:t>A</w:t>
      </w:r>
    </w:p>
    <w:p w14:paraId="5C49B78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0832D07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244</w:t>
      </w:r>
      <w:r>
        <w:rPr>
          <w:rFonts w:hint="eastAsia" w:ascii="方正楷体_GB2312" w:hAnsi="方正楷体_GB2312" w:eastAsia="方正楷体_GB2312" w:cs="方正楷体_GB2312"/>
          <w:sz w:val="24"/>
          <w:szCs w:val="24"/>
        </w:rPr>
        <w:t>.晶体管毫伏表测试频率范围一般为(  )。</w:t>
      </w:r>
    </w:p>
    <w:p w14:paraId="49A0AEA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、5Hz~20MHz</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、1KHz~10MHz</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、500Hz~20MHz</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、100Hz~10MHz</w:t>
      </w:r>
    </w:p>
    <w:p w14:paraId="47BB10F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1A79FE6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245</w:t>
      </w:r>
      <w:r>
        <w:rPr>
          <w:rFonts w:hint="eastAsia" w:ascii="方正楷体_GB2312" w:hAnsi="方正楷体_GB2312" w:eastAsia="方正楷体_GB2312" w:cs="方正楷体_GB2312"/>
          <w:sz w:val="24"/>
          <w:szCs w:val="24"/>
        </w:rPr>
        <w:t>.西普STR系列(  )软启动器，是内置旁路、集成型。</w:t>
      </w:r>
    </w:p>
    <w:p w14:paraId="430BB75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型</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型</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、L型</w:t>
      </w:r>
    </w:p>
    <w:p w14:paraId="73821F6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461608F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246</w:t>
      </w:r>
      <w:r>
        <w:rPr>
          <w:rFonts w:hint="eastAsia" w:ascii="方正楷体_GB2312" w:hAnsi="方正楷体_GB2312" w:eastAsia="方正楷体_GB2312" w:cs="方正楷体_GB2312"/>
          <w:sz w:val="24"/>
          <w:szCs w:val="24"/>
        </w:rPr>
        <w:t>.西门子MM420变频器的主电路电源端子(  )需经交流接触器和保护用断路器与三相电源连接。但不宜采用主电路的通、断进行变频器的运行与停止操作。</w:t>
      </w:r>
    </w:p>
    <w:p w14:paraId="50D4C18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、X、Y、Z</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、U、V、W</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、L1、L2、L3</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p>
    <w:p w14:paraId="2FF7851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6571776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247</w:t>
      </w:r>
      <w:r>
        <w:rPr>
          <w:rFonts w:hint="eastAsia" w:ascii="方正楷体_GB2312" w:hAnsi="方正楷体_GB2312" w:eastAsia="方正楷体_GB2312" w:cs="方正楷体_GB2312"/>
          <w:sz w:val="24"/>
          <w:szCs w:val="24"/>
        </w:rPr>
        <w:t>.光电开关可以非接触、(  )地迅速检测和控制各种固体、液体、透明体、黑体、柔软体、烟雾等物质的状态。</w:t>
      </w:r>
    </w:p>
    <w:p w14:paraId="5514395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、高亮度</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、小电流</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、大力矩</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、无损伤</w:t>
      </w:r>
    </w:p>
    <w:p w14:paraId="4B6874F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4979C0E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248</w:t>
      </w:r>
      <w:r>
        <w:rPr>
          <w:rFonts w:hint="eastAsia" w:ascii="方正楷体_GB2312" w:hAnsi="方正楷体_GB2312" w:eastAsia="方正楷体_GB2312" w:cs="方正楷体_GB2312"/>
          <w:sz w:val="24"/>
          <w:szCs w:val="24"/>
        </w:rPr>
        <w:t>.变频器的干扰有:电源干扰、地线干扰、串扰、公共阻抗干扰等。尽量缩短电源线和地线是竭力避免(  )。</w:t>
      </w:r>
    </w:p>
    <w:p w14:paraId="45CF566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、电源干扰</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、地线干扰</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、串扰</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、公共阻抗干扰</w:t>
      </w:r>
    </w:p>
    <w:p w14:paraId="235A929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26079B5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249</w:t>
      </w:r>
      <w:r>
        <w:rPr>
          <w:rFonts w:hint="eastAsia" w:ascii="方正楷体_GB2312" w:hAnsi="方正楷体_GB2312" w:eastAsia="方正楷体_GB2312" w:cs="方正楷体_GB2312"/>
          <w:sz w:val="24"/>
          <w:szCs w:val="24"/>
        </w:rPr>
        <w:t>.PL</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)阶段把逻辑解读的结果，通过输出部件输出给现场的受控元件。</w:t>
      </w:r>
    </w:p>
    <w:p w14:paraId="32F79E4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、输出采样</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、输入采样</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、程序执行</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、输出刷新</w:t>
      </w:r>
    </w:p>
    <w:p w14:paraId="2B7467E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348E8B3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250</w:t>
      </w:r>
      <w:r>
        <w:rPr>
          <w:rFonts w:hint="eastAsia" w:ascii="方正楷体_GB2312" w:hAnsi="方正楷体_GB2312" w:eastAsia="方正楷体_GB2312" w:cs="方正楷体_GB2312"/>
          <w:sz w:val="24"/>
          <w:szCs w:val="24"/>
        </w:rPr>
        <w:t>.FX2N系列可编程序控制器计数器用(  )表示。</w:t>
      </w:r>
    </w:p>
    <w:p w14:paraId="138BAB7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、X</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、Y</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、T</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C</w:t>
      </w:r>
    </w:p>
    <w:p w14:paraId="1A1C1D9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64B2AFD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251</w:t>
      </w:r>
      <w:r>
        <w:rPr>
          <w:rFonts w:hint="eastAsia" w:ascii="方正楷体_GB2312" w:hAnsi="方正楷体_GB2312" w:eastAsia="方正楷体_GB2312" w:cs="方正楷体_GB2312"/>
          <w:sz w:val="24"/>
          <w:szCs w:val="24"/>
        </w:rPr>
        <w:t>.单相桥式可控整流电路中，控制角α越大，输出电压Ud(  )。</w:t>
      </w:r>
    </w:p>
    <w:p w14:paraId="5C2B487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、越大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、越小</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、为零</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、越负</w:t>
      </w:r>
    </w:p>
    <w:p w14:paraId="72787A8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259E605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252</w:t>
      </w:r>
      <w:r>
        <w:rPr>
          <w:rFonts w:hint="eastAsia" w:ascii="方正楷体_GB2312" w:hAnsi="方正楷体_GB2312" w:eastAsia="方正楷体_GB2312" w:cs="方正楷体_GB2312"/>
          <w:sz w:val="24"/>
          <w:szCs w:val="24"/>
        </w:rPr>
        <w:t>.三相笼型异步电动机电源反接制动时需要在(  )中串入限流电阻。</w:t>
      </w:r>
    </w:p>
    <w:p w14:paraId="5FDD9BE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、直流回路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、控制回路</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、定子回路</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、转子回路</w:t>
      </w:r>
    </w:p>
    <w:p w14:paraId="21AC15E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00BD117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253</w:t>
      </w:r>
      <w:r>
        <w:rPr>
          <w:rFonts w:hint="eastAsia" w:ascii="方正楷体_GB2312" w:hAnsi="方正楷体_GB2312" w:eastAsia="方正楷体_GB2312" w:cs="方正楷体_GB2312"/>
          <w:sz w:val="24"/>
          <w:szCs w:val="24"/>
        </w:rPr>
        <w:t>.M7130平面磨床中，砂轮电动机和液压泵电动机都采用了接触器(  )控制电路。</w:t>
      </w:r>
    </w:p>
    <w:p w14:paraId="0F76912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、自锁反转</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、自锁正转</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、互锁正转</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、互锁反转</w:t>
      </w:r>
    </w:p>
    <w:p w14:paraId="168A901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5C110F8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254</w:t>
      </w:r>
      <w:r>
        <w:rPr>
          <w:rFonts w:hint="eastAsia" w:ascii="方正楷体_GB2312" w:hAnsi="方正楷体_GB2312" w:eastAsia="方正楷体_GB2312" w:cs="方正楷体_GB2312"/>
          <w:sz w:val="24"/>
          <w:szCs w:val="24"/>
        </w:rPr>
        <w:t>.根据电动机顺序启动梯形图，下列指令正确的是(  )。</w:t>
      </w:r>
    </w:p>
    <w:p w14:paraId="5D1F4E5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、L</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IT20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N</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X001</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、OUTY002</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N</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X002</w:t>
      </w:r>
    </w:p>
    <w:p w14:paraId="6AF8539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240AB35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255</w:t>
      </w:r>
      <w:r>
        <w:rPr>
          <w:rFonts w:hint="eastAsia" w:ascii="方正楷体_GB2312" w:hAnsi="方正楷体_GB2312" w:eastAsia="方正楷体_GB2312" w:cs="方正楷体_GB2312"/>
          <w:sz w:val="24"/>
          <w:szCs w:val="24"/>
        </w:rPr>
        <w:t>.FX2N系列可编程序控制器用户程序存储在(  )中。</w:t>
      </w:r>
    </w:p>
    <w:p w14:paraId="42DAC14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、R</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M</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、ROM</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、EEPROM</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、以上都有</w:t>
      </w:r>
    </w:p>
    <w:p w14:paraId="02BCE11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53734AC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256</w:t>
      </w:r>
      <w:r>
        <w:rPr>
          <w:rFonts w:hint="eastAsia" w:ascii="方正楷体_GB2312" w:hAnsi="方正楷体_GB2312" w:eastAsia="方正楷体_GB2312" w:cs="方正楷体_GB2312"/>
          <w:sz w:val="24"/>
          <w:szCs w:val="24"/>
        </w:rPr>
        <w:t>.绕线式异步电动机转子串频敏变阻器启动时，随着转速的升高，(  )自动减小。</w:t>
      </w:r>
    </w:p>
    <w:p w14:paraId="1DEB6EF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、频敏变阻器的等效电压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、频敏变阻器的等效电流</w:t>
      </w:r>
      <w:r>
        <w:rPr>
          <w:rFonts w:hint="eastAsia" w:ascii="方正楷体_GB2312" w:hAnsi="方正楷体_GB2312" w:eastAsia="方正楷体_GB2312" w:cs="方正楷体_GB2312"/>
          <w:sz w:val="24"/>
          <w:szCs w:val="24"/>
          <w:lang w:eastAsia="zh-CN"/>
        </w:rPr>
        <w:tab/>
      </w:r>
    </w:p>
    <w:p w14:paraId="1BB4D42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、频敏变阻器的等效功率</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、频敏变阻器的等效阻抗</w:t>
      </w:r>
    </w:p>
    <w:p w14:paraId="1AD6AC1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5AB4DDB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257</w:t>
      </w:r>
      <w:r>
        <w:rPr>
          <w:rFonts w:hint="eastAsia" w:ascii="方正楷体_GB2312" w:hAnsi="方正楷体_GB2312" w:eastAsia="方正楷体_GB2312" w:cs="方正楷体_GB2312"/>
          <w:sz w:val="24"/>
          <w:szCs w:val="24"/>
        </w:rPr>
        <w:t>.下列不属于位置控制线路的是(  )。</w:t>
      </w:r>
    </w:p>
    <w:p w14:paraId="546B681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、走廊照明灯的两处控制电路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、龙门刨床的自动往返控制电路</w:t>
      </w:r>
      <w:r>
        <w:rPr>
          <w:rFonts w:hint="eastAsia" w:ascii="方正楷体_GB2312" w:hAnsi="方正楷体_GB2312" w:eastAsia="方正楷体_GB2312" w:cs="方正楷体_GB2312"/>
          <w:sz w:val="24"/>
          <w:szCs w:val="24"/>
          <w:lang w:eastAsia="zh-CN"/>
        </w:rPr>
        <w:tab/>
      </w:r>
    </w:p>
    <w:p w14:paraId="42EC8BD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、电梯的开关门电路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、工厂车间里行车的终点保护电路</w:t>
      </w:r>
    </w:p>
    <w:p w14:paraId="1007B3D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3BDD9DD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258</w:t>
      </w:r>
      <w:r>
        <w:rPr>
          <w:rFonts w:hint="eastAsia" w:ascii="方正楷体_GB2312" w:hAnsi="方正楷体_GB2312" w:eastAsia="方正楷体_GB2312" w:cs="方正楷体_GB2312"/>
          <w:sz w:val="24"/>
          <w:szCs w:val="24"/>
        </w:rPr>
        <w:t>.J</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K系列控制变压器适用于机械设备一般电器的控制、工作照明、(  )的电源之用。</w:t>
      </w:r>
    </w:p>
    <w:p w14:paraId="672409C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、电动机</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、信号灯</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、油泵</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、压缩机</w:t>
      </w:r>
    </w:p>
    <w:p w14:paraId="37A329B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5B32E6F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259</w:t>
      </w:r>
      <w:r>
        <w:rPr>
          <w:rFonts w:hint="eastAsia" w:ascii="方正楷体_GB2312" w:hAnsi="方正楷体_GB2312" w:eastAsia="方正楷体_GB2312" w:cs="方正楷体_GB2312"/>
          <w:sz w:val="24"/>
          <w:szCs w:val="24"/>
        </w:rPr>
        <w:t>.根据电动机自动往返梯形图，下列指令正确的是(  )。</w:t>
      </w:r>
    </w:p>
    <w:p w14:paraId="72E884E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、L</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IX002</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N</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X001</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、ORY002</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N</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Y001</w:t>
      </w:r>
    </w:p>
    <w:p w14:paraId="0A6A0C1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6542FC2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260</w:t>
      </w:r>
      <w:r>
        <w:rPr>
          <w:rFonts w:hint="eastAsia" w:ascii="方正楷体_GB2312" w:hAnsi="方正楷体_GB2312" w:eastAsia="方正楷体_GB2312" w:cs="方正楷体_GB2312"/>
          <w:sz w:val="24"/>
          <w:szCs w:val="24"/>
        </w:rPr>
        <w:t>.晶闸管型号KS20-8中的8表示(  )。</w:t>
      </w:r>
    </w:p>
    <w:p w14:paraId="22381E8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、允许的最高电压800V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、允许的最高电压80V</w:t>
      </w:r>
      <w:r>
        <w:rPr>
          <w:rFonts w:hint="eastAsia" w:ascii="方正楷体_GB2312" w:hAnsi="方正楷体_GB2312" w:eastAsia="方正楷体_GB2312" w:cs="方正楷体_GB2312"/>
          <w:sz w:val="24"/>
          <w:szCs w:val="24"/>
          <w:lang w:eastAsia="zh-CN"/>
        </w:rPr>
        <w:tab/>
      </w:r>
    </w:p>
    <w:p w14:paraId="6E8E52C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、允许的最高电压8V</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、允许的最高电压8kV</w:t>
      </w:r>
    </w:p>
    <w:p w14:paraId="69704DA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4E12CE3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261</w:t>
      </w:r>
      <w:r>
        <w:rPr>
          <w:rFonts w:hint="eastAsia" w:ascii="方正楷体_GB2312" w:hAnsi="方正楷体_GB2312" w:eastAsia="方正楷体_GB2312" w:cs="方正楷体_GB2312"/>
          <w:sz w:val="24"/>
          <w:szCs w:val="24"/>
        </w:rPr>
        <w:t>.直流电动机结构复杂、价格贵、制造麻烦、维护困难，但是启动性能好、(  )。</w:t>
      </w:r>
    </w:p>
    <w:p w14:paraId="45AE954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、调速范围大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、调速范围小</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、调速力矩大</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、调速力矩小</w:t>
      </w:r>
    </w:p>
    <w:p w14:paraId="143C1AF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35C0872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262</w:t>
      </w:r>
      <w:r>
        <w:rPr>
          <w:rFonts w:hint="eastAsia" w:ascii="方正楷体_GB2312" w:hAnsi="方正楷体_GB2312" w:eastAsia="方正楷体_GB2312" w:cs="方正楷体_GB2312"/>
          <w:sz w:val="24"/>
          <w:szCs w:val="24"/>
        </w:rPr>
        <w:t>.调节电桥平衡时，若检流计指针向标有“+”的方向偏转时，说明(  )。</w:t>
      </w:r>
    </w:p>
    <w:p w14:paraId="425CED3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、通过检流计电流大、应增大比较臂的电阻</w:t>
      </w:r>
      <w:r>
        <w:rPr>
          <w:rFonts w:hint="eastAsia" w:ascii="方正楷体_GB2312" w:hAnsi="方正楷体_GB2312" w:eastAsia="方正楷体_GB2312" w:cs="方正楷体_GB2312"/>
          <w:sz w:val="24"/>
          <w:szCs w:val="24"/>
          <w:lang w:val="en-US" w:eastAsia="zh-CN"/>
        </w:rPr>
        <w:t xml:space="preserve">   </w:t>
      </w:r>
    </w:p>
    <w:p w14:paraId="44CE276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、通过检流计电流小、应增大比较臂的电阻</w:t>
      </w:r>
      <w:r>
        <w:rPr>
          <w:rFonts w:hint="eastAsia" w:ascii="方正楷体_GB2312" w:hAnsi="方正楷体_GB2312" w:eastAsia="方正楷体_GB2312" w:cs="方正楷体_GB2312"/>
          <w:sz w:val="24"/>
          <w:szCs w:val="24"/>
          <w:lang w:eastAsia="zh-CN"/>
        </w:rPr>
        <w:tab/>
      </w:r>
    </w:p>
    <w:p w14:paraId="518ABF4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、通过检流计电流小、应减小比较臂的电阻</w:t>
      </w:r>
      <w:r>
        <w:rPr>
          <w:rFonts w:hint="eastAsia" w:ascii="方正楷体_GB2312" w:hAnsi="方正楷体_GB2312" w:eastAsia="方正楷体_GB2312" w:cs="方正楷体_GB2312"/>
          <w:sz w:val="24"/>
          <w:szCs w:val="24"/>
          <w:lang w:eastAsia="zh-CN"/>
        </w:rPr>
        <w:tab/>
      </w:r>
    </w:p>
    <w:p w14:paraId="698839E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、通过检流计电流大、应减小比较臂的电阻</w:t>
      </w:r>
    </w:p>
    <w:p w14:paraId="7D7D89E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3640328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263</w:t>
      </w:r>
      <w:r>
        <w:rPr>
          <w:rFonts w:hint="eastAsia" w:ascii="方正楷体_GB2312" w:hAnsi="方正楷体_GB2312" w:eastAsia="方正楷体_GB2312" w:cs="方正楷体_GB2312"/>
          <w:sz w:val="24"/>
          <w:szCs w:val="24"/>
        </w:rPr>
        <w:t>.变频启动方式比软启动器的启动转矩(  )。</w:t>
      </w:r>
    </w:p>
    <w:p w14:paraId="0A94F1C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、小</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、一样</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、小很多</w:t>
      </w:r>
    </w:p>
    <w:p w14:paraId="1579372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52FF8D5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264</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6150车床(  )的正反转控制线路具有三位置自动复位开关的互锁功能。</w:t>
      </w:r>
    </w:p>
    <w:p w14:paraId="45B0FFC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、冷却液电动机</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、主轴电动机</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、快速移动电动机</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、润滑油泵电动机</w:t>
      </w:r>
    </w:p>
    <w:p w14:paraId="39059EC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38CFBA8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265</w:t>
      </w:r>
      <w:r>
        <w:rPr>
          <w:rFonts w:hint="eastAsia" w:ascii="方正楷体_GB2312" w:hAnsi="方正楷体_GB2312" w:eastAsia="方正楷体_GB2312" w:cs="方正楷体_GB2312"/>
          <w:sz w:val="24"/>
          <w:szCs w:val="24"/>
        </w:rPr>
        <w:t>.可编程序控制器停止时，(  )阶段停止执行。</w:t>
      </w:r>
    </w:p>
    <w:p w14:paraId="19019B7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、程序执行</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、存储器刷新</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、传感器采样</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、输入采样</w:t>
      </w:r>
    </w:p>
    <w:p w14:paraId="649DDEF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4587991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266</w:t>
      </w:r>
      <w:r>
        <w:rPr>
          <w:rFonts w:hint="eastAsia" w:ascii="方正楷体_GB2312" w:hAnsi="方正楷体_GB2312" w:eastAsia="方正楷体_GB2312" w:cs="方正楷体_GB2312"/>
          <w:sz w:val="24"/>
          <w:szCs w:val="24"/>
        </w:rPr>
        <w:t>.直流电动机的各种制动方法中，能向电源反送电能的方法是(  )。</w:t>
      </w:r>
    </w:p>
    <w:p w14:paraId="1D16B13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、反接制动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、抱闸制动</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、能耗制动</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、回馈制动</w:t>
      </w:r>
    </w:p>
    <w:p w14:paraId="3453F50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7EB2C39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267</w:t>
      </w:r>
      <w:r>
        <w:rPr>
          <w:rFonts w:hint="eastAsia" w:ascii="方正楷体_GB2312" w:hAnsi="方正楷体_GB2312" w:eastAsia="方正楷体_GB2312" w:cs="方正楷体_GB2312"/>
          <w:sz w:val="24"/>
          <w:szCs w:val="24"/>
        </w:rPr>
        <w:t>.M7130平面磨床中电磁吸盘吸力不足的原因之一是(  )。</w:t>
      </w:r>
    </w:p>
    <w:p w14:paraId="3CB6A93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、电磁吸盘的线圈内有匝间短路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、电磁吸盘的线圈内有开路点</w:t>
      </w:r>
      <w:r>
        <w:rPr>
          <w:rFonts w:hint="eastAsia" w:ascii="方正楷体_GB2312" w:hAnsi="方正楷体_GB2312" w:eastAsia="方正楷体_GB2312" w:cs="方正楷体_GB2312"/>
          <w:sz w:val="24"/>
          <w:szCs w:val="24"/>
          <w:lang w:eastAsia="zh-CN"/>
        </w:rPr>
        <w:tab/>
      </w:r>
    </w:p>
    <w:p w14:paraId="0C09210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、整流变压器开路</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、整流变压器短路</w:t>
      </w:r>
    </w:p>
    <w:p w14:paraId="343B6D2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79BD1B1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268</w:t>
      </w:r>
      <w:r>
        <w:rPr>
          <w:rFonts w:hint="eastAsia" w:ascii="方正楷体_GB2312" w:hAnsi="方正楷体_GB2312" w:eastAsia="方正楷体_GB2312" w:cs="方正楷体_GB2312"/>
          <w:sz w:val="24"/>
          <w:szCs w:val="24"/>
        </w:rPr>
        <w:t>.Z3040摇臂钻床主轴电动机的控制按钮安装在(  )。</w:t>
      </w:r>
    </w:p>
    <w:p w14:paraId="5502589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、摇臂上</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、立柱外壳</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、底座上</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、主轴箱外壳</w:t>
      </w:r>
    </w:p>
    <w:p w14:paraId="1FBB222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6A72B38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269</w:t>
      </w:r>
      <w:r>
        <w:rPr>
          <w:rFonts w:hint="eastAsia" w:ascii="方正楷体_GB2312" w:hAnsi="方正楷体_GB2312" w:eastAsia="方正楷体_GB2312" w:cs="方正楷体_GB2312"/>
          <w:sz w:val="24"/>
          <w:szCs w:val="24"/>
        </w:rPr>
        <w:t>.单结晶体管三个电极的符号是(  )。</w:t>
      </w:r>
    </w:p>
    <w:p w14:paraId="237B0C0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、E、</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1、</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2</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、E1、</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、E2</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、U、V、W</w:t>
      </w:r>
    </w:p>
    <w:p w14:paraId="228FE20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2FBE34E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270</w:t>
      </w:r>
      <w:r>
        <w:rPr>
          <w:rFonts w:hint="eastAsia" w:ascii="方正楷体_GB2312" w:hAnsi="方正楷体_GB2312" w:eastAsia="方正楷体_GB2312" w:cs="方正楷体_GB2312"/>
          <w:sz w:val="24"/>
          <w:szCs w:val="24"/>
        </w:rPr>
        <w:t>.R</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选频振荡电路，能产生电路振荡的放大电路的放大倍数至少为(  )。</w:t>
      </w:r>
    </w:p>
    <w:p w14:paraId="130E01F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、10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、3</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、5</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、20</w:t>
      </w:r>
    </w:p>
    <w:p w14:paraId="6844300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39E6275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271</w:t>
      </w:r>
      <w:r>
        <w:rPr>
          <w:rFonts w:hint="eastAsia" w:ascii="方正楷体_GB2312" w:hAnsi="方正楷体_GB2312" w:eastAsia="方正楷体_GB2312" w:cs="方正楷体_GB2312"/>
          <w:sz w:val="24"/>
          <w:szCs w:val="24"/>
        </w:rPr>
        <w:t>.磁性开关可以由(  )构成。</w:t>
      </w:r>
    </w:p>
    <w:p w14:paraId="1DF3B3F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、继电器和电磁铁</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、二极管和三极管</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、永久磁铁和干簧管</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、三极管和继电器</w:t>
      </w:r>
    </w:p>
    <w:p w14:paraId="52FACFF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47A5476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272</w:t>
      </w:r>
      <w:r>
        <w:rPr>
          <w:rFonts w:hint="eastAsia" w:ascii="方正楷体_GB2312" w:hAnsi="方正楷体_GB2312" w:eastAsia="方正楷体_GB2312" w:cs="方正楷体_GB2312"/>
          <w:sz w:val="24"/>
          <w:szCs w:val="24"/>
        </w:rPr>
        <w:t>.高频振荡电感型接近开关主要由感应头、振荡器、(  )、输出电路等组成。</w:t>
      </w:r>
    </w:p>
    <w:p w14:paraId="1CF7AD7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、继电器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、开关器</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、发光二极管</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、光电三极管</w:t>
      </w:r>
    </w:p>
    <w:p w14:paraId="704BD87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13C07D2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273</w:t>
      </w:r>
      <w:r>
        <w:rPr>
          <w:rFonts w:hint="eastAsia" w:ascii="方正楷体_GB2312" w:hAnsi="方正楷体_GB2312" w:eastAsia="方正楷体_GB2312" w:cs="方正楷体_GB2312"/>
          <w:sz w:val="24"/>
          <w:szCs w:val="24"/>
        </w:rPr>
        <w:t>.FX2N系列可编程序控制器光电耦合器有效输入电平形式是(  )。</w:t>
      </w:r>
    </w:p>
    <w:p w14:paraId="7721B19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、高电平</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、低电平</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、高电平或低电平</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、以上都是</w:t>
      </w:r>
    </w:p>
    <w:p w14:paraId="399B018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6E680EB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274</w:t>
      </w:r>
      <w:r>
        <w:rPr>
          <w:rFonts w:hint="eastAsia" w:ascii="方正楷体_GB2312" w:hAnsi="方正楷体_GB2312" w:eastAsia="方正楷体_GB2312" w:cs="方正楷体_GB2312"/>
          <w:sz w:val="24"/>
          <w:szCs w:val="24"/>
        </w:rPr>
        <w:t>.增量式光电编码器配线延长时，应在(  )以下。</w:t>
      </w:r>
    </w:p>
    <w:p w14:paraId="0272CBC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、1km</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、100m</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、1m</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、10m</w:t>
      </w:r>
    </w:p>
    <w:p w14:paraId="2E43E08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0AFFFB8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275</w:t>
      </w:r>
      <w:r>
        <w:rPr>
          <w:rFonts w:hint="eastAsia" w:ascii="方正楷体_GB2312" w:hAnsi="方正楷体_GB2312" w:eastAsia="方正楷体_GB2312" w:cs="方正楷体_GB2312"/>
          <w:sz w:val="24"/>
          <w:szCs w:val="24"/>
        </w:rPr>
        <w:t>.P型半导体是在本征半导体中加入微量的(  )元素构成的。</w:t>
      </w:r>
    </w:p>
    <w:p w14:paraId="2DCED56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、三价</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、四价</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、五价</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、六价</w:t>
      </w:r>
    </w:p>
    <w:p w14:paraId="015AC66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2C48CD5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276</w:t>
      </w:r>
      <w:r>
        <w:rPr>
          <w:rFonts w:hint="eastAsia" w:ascii="方正楷体_GB2312" w:hAnsi="方正楷体_GB2312" w:eastAsia="方正楷体_GB2312" w:cs="方正楷体_GB2312"/>
          <w:sz w:val="24"/>
          <w:szCs w:val="24"/>
        </w:rPr>
        <w:t>.直流电动机的转子由电枢铁心、电枢绕组、(  )、转轴等组成。</w:t>
      </w:r>
    </w:p>
    <w:p w14:paraId="14F9749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、接线盒</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、换向极</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、主磁极</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、换向器</w:t>
      </w:r>
    </w:p>
    <w:p w14:paraId="0AA34E6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p>
    <w:p w14:paraId="7D79B7E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277</w:t>
      </w:r>
      <w:r>
        <w:rPr>
          <w:rFonts w:hint="eastAsia" w:ascii="方正楷体_GB2312" w:hAnsi="方正楷体_GB2312" w:eastAsia="方正楷体_GB2312" w:cs="方正楷体_GB2312"/>
          <w:sz w:val="24"/>
          <w:szCs w:val="24"/>
        </w:rPr>
        <w:t>.以下属于多台电动机顺序控制的线路是(  )。</w:t>
      </w:r>
    </w:p>
    <w:p w14:paraId="51116C3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、一台电动机正转时不能立即反转的控制线路</w:t>
      </w:r>
    </w:p>
    <w:p w14:paraId="1D4C7ED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、Y-△启动控制线路</w:t>
      </w:r>
      <w:r>
        <w:rPr>
          <w:rFonts w:hint="eastAsia" w:ascii="方正楷体_GB2312" w:hAnsi="方正楷体_GB2312" w:eastAsia="方正楷体_GB2312" w:cs="方正楷体_GB2312"/>
          <w:sz w:val="24"/>
          <w:szCs w:val="24"/>
          <w:lang w:eastAsia="zh-CN"/>
        </w:rPr>
        <w:tab/>
      </w:r>
    </w:p>
    <w:p w14:paraId="075EC80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、电梯先上升后下降的控制线路</w:t>
      </w:r>
      <w:r>
        <w:rPr>
          <w:rFonts w:hint="eastAsia" w:ascii="方正楷体_GB2312" w:hAnsi="方正楷体_GB2312" w:eastAsia="方正楷体_GB2312" w:cs="方正楷体_GB2312"/>
          <w:sz w:val="24"/>
          <w:szCs w:val="24"/>
          <w:lang w:eastAsia="zh-CN"/>
        </w:rPr>
        <w:tab/>
      </w:r>
    </w:p>
    <w:p w14:paraId="0DC3D6D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、电动机2可以单独停止，电动机1停止时电动机2也停止的控制线路</w:t>
      </w:r>
    </w:p>
    <w:p w14:paraId="7A3D7B0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559DE53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278</w:t>
      </w:r>
      <w:r>
        <w:rPr>
          <w:rFonts w:hint="eastAsia" w:ascii="方正楷体_GB2312" w:hAnsi="方正楷体_GB2312" w:eastAsia="方正楷体_GB2312" w:cs="方正楷体_GB2312"/>
          <w:sz w:val="24"/>
          <w:szCs w:val="24"/>
        </w:rPr>
        <w:t>.晶闸管电路中采用(  )的方法来防止电流尖峰。</w:t>
      </w:r>
    </w:p>
    <w:p w14:paraId="1FBCB34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、串联小电容</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、并联小电容</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、串联小电感</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、并联小电感</w:t>
      </w:r>
    </w:p>
    <w:p w14:paraId="53896C6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3F8A00A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279</w:t>
      </w:r>
      <w:r>
        <w:rPr>
          <w:rFonts w:hint="eastAsia" w:ascii="方正楷体_GB2312" w:hAnsi="方正楷体_GB2312" w:eastAsia="方正楷体_GB2312" w:cs="方正楷体_GB2312"/>
          <w:sz w:val="24"/>
          <w:szCs w:val="24"/>
        </w:rPr>
        <w:t>.分压式偏置共射放大电路，稳定工作点效果受(  )影响。</w:t>
      </w:r>
    </w:p>
    <w:p w14:paraId="0F23E88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、Rc</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、R</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、RE</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、Ucc</w:t>
      </w:r>
    </w:p>
    <w:p w14:paraId="2034487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7D0D5CD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280</w:t>
      </w:r>
      <w:r>
        <w:rPr>
          <w:rFonts w:hint="eastAsia" w:ascii="方正楷体_GB2312" w:hAnsi="方正楷体_GB2312" w:eastAsia="方正楷体_GB2312" w:cs="方正楷体_GB2312"/>
          <w:sz w:val="24"/>
          <w:szCs w:val="24"/>
        </w:rPr>
        <w:t>.喷灯使用完毕，应将剩余的燃料油(  )，将喷灯污物擦除后，妥善保管。</w:t>
      </w:r>
    </w:p>
    <w:p w14:paraId="0BB6D2B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、烧净</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、保存在油筒内</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、倒掉</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、倒出回收</w:t>
      </w:r>
    </w:p>
    <w:p w14:paraId="49D49E9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 </w:t>
      </w:r>
    </w:p>
    <w:p w14:paraId="7F54F75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281</w:t>
      </w:r>
      <w:r>
        <w:rPr>
          <w:rFonts w:hint="eastAsia" w:ascii="方正楷体_GB2312" w:hAnsi="方正楷体_GB2312" w:eastAsia="方正楷体_GB2312" w:cs="方正楷体_GB2312"/>
          <w:sz w:val="24"/>
          <w:szCs w:val="24"/>
        </w:rPr>
        <w:t>.软启动器(  )常用于短时重复工作的电动机。</w:t>
      </w:r>
    </w:p>
    <w:p w14:paraId="3FAD309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、跨越运行模式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、接触器旁路运行模式</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、节能运行模式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、调压调速运行模式</w:t>
      </w:r>
    </w:p>
    <w:p w14:paraId="2B6D637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513C84A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282</w:t>
      </w:r>
      <w:r>
        <w:rPr>
          <w:rFonts w:hint="eastAsia" w:ascii="方正楷体_GB2312" w:hAnsi="方正楷体_GB2312" w:eastAsia="方正楷体_GB2312" w:cs="方正楷体_GB2312"/>
          <w:sz w:val="24"/>
          <w:szCs w:val="24"/>
        </w:rPr>
        <w:t>.磁性开关用于(  )场所时应选PP、PV</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F材质的器件。</w:t>
      </w:r>
    </w:p>
    <w:p w14:paraId="1562BCA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、海底高压</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、高空低压</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、强酸强碱</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、高温高压</w:t>
      </w:r>
    </w:p>
    <w:p w14:paraId="261662C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648AAF5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283.</w:t>
      </w:r>
      <w:r>
        <w:rPr>
          <w:rFonts w:hint="eastAsia" w:ascii="方正楷体_GB2312" w:hAnsi="方正楷体_GB2312" w:eastAsia="方正楷体_GB2312" w:cs="方正楷体_GB2312"/>
          <w:sz w:val="24"/>
          <w:szCs w:val="24"/>
        </w:rPr>
        <w:t>关于创新的正确论述是(  )。</w:t>
      </w:r>
    </w:p>
    <w:p w14:paraId="7D34F26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、不墨守成规，但也不可标新立异</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、企业经不起折腾，大胆地闯早晚会出问题</w:t>
      </w:r>
      <w:r>
        <w:rPr>
          <w:rFonts w:hint="eastAsia" w:ascii="方正楷体_GB2312" w:hAnsi="方正楷体_GB2312" w:eastAsia="方正楷体_GB2312" w:cs="方正楷体_GB2312"/>
          <w:sz w:val="24"/>
          <w:szCs w:val="24"/>
          <w:lang w:eastAsia="zh-CN"/>
        </w:rPr>
        <w:tab/>
      </w:r>
    </w:p>
    <w:p w14:paraId="7090CDF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、创新是企业发展的动力</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、创新需要灵感，但不需要情感</w:t>
      </w:r>
    </w:p>
    <w:p w14:paraId="289EE51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 </w:t>
      </w:r>
    </w:p>
    <w:p w14:paraId="21A253D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284</w:t>
      </w:r>
      <w:r>
        <w:rPr>
          <w:rFonts w:hint="eastAsia" w:ascii="方正楷体_GB2312" w:hAnsi="方正楷体_GB2312" w:eastAsia="方正楷体_GB2312" w:cs="方正楷体_GB2312"/>
          <w:sz w:val="24"/>
          <w:szCs w:val="24"/>
        </w:rPr>
        <w:t>.集成运放通常有(  )部分组成。</w:t>
      </w:r>
    </w:p>
    <w:p w14:paraId="38D955A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、3</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、4</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、5</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、6</w:t>
      </w:r>
    </w:p>
    <w:p w14:paraId="01B4B46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p>
    <w:p w14:paraId="4CC559F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285</w:t>
      </w:r>
      <w:r>
        <w:rPr>
          <w:rFonts w:hint="eastAsia" w:ascii="方正楷体_GB2312" w:hAnsi="方正楷体_GB2312" w:eastAsia="方正楷体_GB2312" w:cs="方正楷体_GB2312"/>
          <w:sz w:val="24"/>
          <w:szCs w:val="24"/>
        </w:rPr>
        <w:t>.如果启动或停车时变频器出现过流，应重新设定(  )。</w:t>
      </w:r>
    </w:p>
    <w:p w14:paraId="5F22731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、加速时间或减速时间</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、过流保护值</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、电机参数</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、基本频率</w:t>
      </w:r>
    </w:p>
    <w:p w14:paraId="2E289EC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 </w:t>
      </w:r>
    </w:p>
    <w:p w14:paraId="5371233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val="en-US" w:eastAsia="zh-CN"/>
        </w:rPr>
        <w:t>286</w:t>
      </w:r>
      <w:r>
        <w:rPr>
          <w:rFonts w:hint="eastAsia" w:ascii="方正楷体_GB2312" w:hAnsi="方正楷体_GB2312" w:eastAsia="方正楷体_GB2312" w:cs="方正楷体_GB2312"/>
          <w:sz w:val="24"/>
          <w:szCs w:val="24"/>
        </w:rPr>
        <w:t>.对于△接法的异步电动机应选用(  )结构的热继电器。</w:t>
      </w:r>
    </w:p>
    <w:p w14:paraId="609BA43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、四相</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、三相</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、两相</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、单相</w:t>
      </w:r>
    </w:p>
    <w:p w14:paraId="1733E7A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正确答案：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 </w:t>
      </w:r>
    </w:p>
    <w:p w14:paraId="4078127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val="en-US" w:eastAsia="zh-CN"/>
        </w:rPr>
        <w:t>287</w:t>
      </w:r>
      <w:r>
        <w:rPr>
          <w:rFonts w:hint="eastAsia" w:ascii="方正楷体_GB2312" w:hAnsi="方正楷体_GB2312" w:eastAsia="方正楷体_GB2312" w:cs="方正楷体_GB2312"/>
          <w:sz w:val="24"/>
          <w:szCs w:val="24"/>
        </w:rPr>
        <w:t>.(单选题,0.6 分)晶闸管两端(</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rPr>
        <w:t>)的目的是实现过压保护。</w:t>
      </w:r>
    </w:p>
    <w:p w14:paraId="52A2E0A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lang w:eastAsia="zh-CN"/>
        </w:rPr>
        <w:t>A</w:t>
      </w:r>
      <w:r>
        <w:rPr>
          <w:rFonts w:hint="eastAsia" w:ascii="方正楷体_GB2312" w:hAnsi="方正楷体_GB2312" w:eastAsia="方正楷体_GB2312" w:cs="方正楷体_GB2312"/>
          <w:sz w:val="24"/>
          <w:szCs w:val="24"/>
        </w:rPr>
        <w:t>.串联快速熔断器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sz w:val="24"/>
          <w:szCs w:val="24"/>
          <w:lang w:eastAsia="zh-CN"/>
        </w:rPr>
        <w:t>B</w:t>
      </w:r>
      <w:r>
        <w:rPr>
          <w:rFonts w:hint="eastAsia" w:ascii="方正楷体_GB2312" w:hAnsi="方正楷体_GB2312" w:eastAsia="方正楷体_GB2312" w:cs="方正楷体_GB2312"/>
          <w:sz w:val="24"/>
          <w:szCs w:val="24"/>
        </w:rPr>
        <w:t>.并联快速熔断器</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.并联压敏电阻</w:t>
      </w:r>
      <w:r>
        <w:rPr>
          <w:rFonts w:hint="eastAsia" w:ascii="方正楷体_GB2312" w:hAnsi="方正楷体_GB2312" w:eastAsia="方正楷体_GB2312" w:cs="方正楷体_GB2312"/>
          <w:sz w:val="24"/>
          <w:szCs w:val="24"/>
          <w:lang w:eastAsia="zh-CN"/>
        </w:rPr>
        <w:tab/>
      </w:r>
      <w:r>
        <w:rPr>
          <w:rFonts w:hint="eastAsia" w:ascii="方正楷体_GB2312" w:hAnsi="方正楷体_GB2312" w:eastAsia="方正楷体_GB2312" w:cs="方正楷体_GB2312"/>
          <w:sz w:val="24"/>
          <w:szCs w:val="24"/>
          <w:lang w:eastAsia="zh-CN"/>
        </w:rPr>
        <w:t>D</w:t>
      </w:r>
      <w:r>
        <w:rPr>
          <w:rFonts w:hint="eastAsia" w:ascii="方正楷体_GB2312" w:hAnsi="方正楷体_GB2312" w:eastAsia="方正楷体_GB2312" w:cs="方正楷体_GB2312"/>
          <w:sz w:val="24"/>
          <w:szCs w:val="24"/>
        </w:rPr>
        <w:t>.串联压敏电阻</w:t>
      </w:r>
    </w:p>
    <w:p w14:paraId="196444B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w:t>
      </w:r>
      <w:r>
        <w:rPr>
          <w:rFonts w:hint="eastAsia" w:ascii="方正楷体_GB2312" w:hAnsi="方正楷体_GB2312" w:eastAsia="方正楷体_GB2312" w:cs="方正楷体_GB2312"/>
          <w:sz w:val="24"/>
          <w:szCs w:val="24"/>
          <w:lang w:val="en-US" w:eastAsia="zh-CN"/>
        </w:rPr>
        <w:t>C</w:t>
      </w:r>
    </w:p>
    <w:p w14:paraId="6CE44F1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288.(单选题,0.6分)单相桥式可控整流电路电感性负载，当控制角α=(    )时，续流二极管中的电流与晶闸管中的电流相等。</w:t>
      </w:r>
    </w:p>
    <w:p w14:paraId="2B9363C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A. 90°    B.60°</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C.120°</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D.300°</w:t>
      </w:r>
    </w:p>
    <w:p w14:paraId="629487A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正确答案: B</w:t>
      </w:r>
    </w:p>
    <w:p w14:paraId="399C6B6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289.固定偏置共射极放大电路已知</w:t>
      </w:r>
      <w:r>
        <w:rPr>
          <w:rFonts w:hint="eastAsia" w:ascii="方正楷体_GB2312" w:hAnsi="方正楷体_GB2312" w:eastAsia="方正楷体_GB2312" w:cs="方正楷体_GB2312"/>
          <w:color w:val="FF0000"/>
          <w:sz w:val="24"/>
          <w:szCs w:val="24"/>
          <w:lang w:val="en-US" w:eastAsia="zh-CN"/>
        </w:rPr>
        <w:t>RB</w:t>
      </w:r>
      <w:r>
        <w:rPr>
          <w:rFonts w:hint="eastAsia" w:ascii="方正楷体_GB2312" w:hAnsi="方正楷体_GB2312" w:eastAsia="方正楷体_GB2312" w:cs="方正楷体_GB2312"/>
          <w:sz w:val="24"/>
          <w:szCs w:val="24"/>
          <w:lang w:val="en-US" w:eastAsia="zh-CN"/>
        </w:rPr>
        <w:t>=300KΩ，</w:t>
      </w:r>
      <w:r>
        <w:rPr>
          <w:rFonts w:hint="eastAsia" w:ascii="方正楷体_GB2312" w:hAnsi="方正楷体_GB2312" w:eastAsia="方正楷体_GB2312" w:cs="方正楷体_GB2312"/>
          <w:color w:val="FF0000"/>
          <w:sz w:val="24"/>
          <w:szCs w:val="24"/>
          <w:lang w:val="en-US" w:eastAsia="zh-CN"/>
        </w:rPr>
        <w:t>RC</w:t>
      </w:r>
      <w:r>
        <w:rPr>
          <w:rFonts w:hint="eastAsia" w:ascii="方正楷体_GB2312" w:hAnsi="方正楷体_GB2312" w:eastAsia="方正楷体_GB2312" w:cs="方正楷体_GB2312"/>
          <w:sz w:val="24"/>
          <w:szCs w:val="24"/>
          <w:lang w:val="en-US" w:eastAsia="zh-CN"/>
        </w:rPr>
        <w:t>=4KΩ，Vcc=12V，β=50，则</w:t>
      </w:r>
      <w:r>
        <w:rPr>
          <w:rFonts w:hint="eastAsia" w:ascii="方正楷体_GB2312" w:hAnsi="方正楷体_GB2312" w:eastAsia="方正楷体_GB2312" w:cs="方正楷体_GB2312"/>
          <w:color w:val="FF0000"/>
          <w:sz w:val="24"/>
          <w:szCs w:val="24"/>
          <w:lang w:val="en-US" w:eastAsia="zh-CN"/>
        </w:rPr>
        <w:t>IBQ</w:t>
      </w:r>
      <w:r>
        <w:rPr>
          <w:rFonts w:hint="eastAsia" w:ascii="方正楷体_GB2312" w:hAnsi="方正楷体_GB2312" w:eastAsia="方正楷体_GB2312" w:cs="方正楷体_GB2312"/>
          <w:sz w:val="24"/>
          <w:szCs w:val="24"/>
          <w:lang w:val="en-US" w:eastAsia="zh-CN"/>
        </w:rPr>
        <w:t>为(    )。</w:t>
      </w:r>
    </w:p>
    <w:p w14:paraId="6AF8FA7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A. 40uA    B. 30μA</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C.40mA</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D. 10μA</w:t>
      </w:r>
    </w:p>
    <w:p w14:paraId="4871F17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正确答案: A</w:t>
      </w:r>
    </w:p>
    <w:p w14:paraId="0991865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290.(    )是PL</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C主机的技术性能范围。</w:t>
      </w:r>
    </w:p>
    <w:p w14:paraId="02CD221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A.行程开关    B.光电传感器</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C.温度传感器</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D.内部标志位</w:t>
      </w:r>
    </w:p>
    <w:p w14:paraId="13F981B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正确答案:D</w:t>
      </w:r>
    </w:p>
    <w:p w14:paraId="3095CA9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291.C6150车床其他正常，而主轴无制动时，应重点检修(    )。</w:t>
      </w:r>
    </w:p>
    <w:p w14:paraId="75C410F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A. 电源进线开关     B.接触器KM1和KM2的常闭触点</w:t>
      </w:r>
      <w:r>
        <w:rPr>
          <w:rFonts w:hint="eastAsia" w:ascii="方正楷体_GB2312" w:hAnsi="方正楷体_GB2312" w:eastAsia="方正楷体_GB2312" w:cs="方正楷体_GB2312"/>
          <w:sz w:val="24"/>
          <w:szCs w:val="24"/>
          <w:lang w:val="en-US" w:eastAsia="zh-CN"/>
        </w:rPr>
        <w:tab/>
      </w:r>
    </w:p>
    <w:p w14:paraId="2343B13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C.控制变压器TC</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D.中间继电器KA1和KA2的常闭触点</w:t>
      </w:r>
    </w:p>
    <w:p w14:paraId="4BC1B8E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正确答案:D</w:t>
      </w:r>
    </w:p>
    <w:p w14:paraId="3EB2E53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292.单相半波可控整流电路的输出电压范围是(    )。</w:t>
      </w:r>
    </w:p>
    <w:p w14:paraId="2698651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A. 1.35U2～0    B. U2～0</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 xml:space="preserve">    C.0.9U2～0</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D.0.45U2～0</w:t>
      </w:r>
    </w:p>
    <w:p w14:paraId="5E5BB3B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正确答案：</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D</w:t>
      </w:r>
    </w:p>
    <w:p w14:paraId="5ACCEFB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293.根据机械与行程开关传力和位移关系选择合适的(    )。</w:t>
      </w:r>
    </w:p>
    <w:p w14:paraId="0EFD3F4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 xml:space="preserve">A.电流类型    B.电压等级    </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C.接线型式</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D.头部型式</w:t>
      </w:r>
    </w:p>
    <w:p w14:paraId="278E270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正确答案:D</w:t>
      </w:r>
    </w:p>
    <w:p w14:paraId="14D0CA3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294三相异步电动机工作时，其电磁转矩是由旋转磁场与(    )共同作用产生的。</w:t>
      </w:r>
    </w:p>
    <w:p w14:paraId="0DCDA27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A.定子电流    B.转子电流</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 xml:space="preserve">    C.转子电压</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D.电源电压</w:t>
      </w:r>
    </w:p>
    <w:p w14:paraId="7F3C6B3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正确答案: B</w:t>
      </w:r>
    </w:p>
    <w:p w14:paraId="2226E2E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295.熔断器的额定分断能力必须大于电路中可能出现的最大(    )。</w:t>
      </w:r>
    </w:p>
    <w:p w14:paraId="5C927E8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 xml:space="preserve">A.短路电流    B.工作电流    </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C.过载电流</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D.启动电流</w:t>
      </w:r>
    </w:p>
    <w:p w14:paraId="2C4B22E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正确答案: A</w:t>
      </w:r>
    </w:p>
    <w:p w14:paraId="0E1EEB9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296.下面说法中不正确的是(    )。</w:t>
      </w:r>
    </w:p>
    <w:p w14:paraId="69154E2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A.下班后不要穿工作服       B.不穿奇装异服上班</w:t>
      </w:r>
      <w:r>
        <w:rPr>
          <w:rFonts w:hint="eastAsia" w:ascii="方正楷体_GB2312" w:hAnsi="方正楷体_GB2312" w:eastAsia="方正楷体_GB2312" w:cs="方正楷体_GB2312"/>
          <w:sz w:val="24"/>
          <w:szCs w:val="24"/>
          <w:lang w:val="en-US" w:eastAsia="zh-CN"/>
        </w:rPr>
        <w:tab/>
      </w:r>
    </w:p>
    <w:p w14:paraId="0F3B7B9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C.上班时要按规定穿整洁的工作服</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D.女职工的工作服越艳丽越好</w:t>
      </w:r>
    </w:p>
    <w:p w14:paraId="43D4F69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正确答案:D</w:t>
      </w:r>
    </w:p>
    <w:p w14:paraId="608F0FC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297.理想集成运放的差模输入电阻为(    )。</w:t>
      </w:r>
    </w:p>
    <w:p w14:paraId="0D61C4E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A.1MΩ    B.2MΩ</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C.3MΩ</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D.∞</w:t>
      </w:r>
    </w:p>
    <w:p w14:paraId="779EF6E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正确答案:D</w:t>
      </w:r>
    </w:p>
    <w:p w14:paraId="74FE611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298.若使三极管具有电流放大能力，必须满足的外部条件是(    )。</w:t>
      </w:r>
    </w:p>
    <w:p w14:paraId="0C4810E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A.发射结正偏、集电结正偏    B.发射结反偏、集电结反偏</w:t>
      </w:r>
      <w:r>
        <w:rPr>
          <w:rFonts w:hint="eastAsia" w:ascii="方正楷体_GB2312" w:hAnsi="方正楷体_GB2312" w:eastAsia="方正楷体_GB2312" w:cs="方正楷体_GB2312"/>
          <w:sz w:val="24"/>
          <w:szCs w:val="24"/>
          <w:lang w:val="en-US" w:eastAsia="zh-CN"/>
        </w:rPr>
        <w:tab/>
      </w:r>
    </w:p>
    <w:p w14:paraId="445C599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C.发射结正偏、集电结反偏</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D.发射结反偏、集电结正偏</w:t>
      </w:r>
    </w:p>
    <w:p w14:paraId="6C14958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正确答案: C</w:t>
      </w:r>
    </w:p>
    <w:p w14:paraId="0BE3291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299.下列电磁污染形式不属于人为的电磁污染的是(    )。</w:t>
      </w:r>
    </w:p>
    <w:p w14:paraId="17867B6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A.脉冲放电    B.电磁场</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C.射频电磁污染</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D.火山爆发</w:t>
      </w:r>
    </w:p>
    <w:p w14:paraId="48CF0DC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正确答案:D</w:t>
      </w:r>
    </w:p>
    <w:p w14:paraId="263EF95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300.下列事项中属于办事公道的是(    )。</w:t>
      </w:r>
    </w:p>
    <w:p w14:paraId="0BFB52B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A.顾全大局，一切听从上级    B.大公无私，拒绝亲戚求助</w:t>
      </w:r>
      <w:r>
        <w:rPr>
          <w:rFonts w:hint="eastAsia" w:ascii="方正楷体_GB2312" w:hAnsi="方正楷体_GB2312" w:eastAsia="方正楷体_GB2312" w:cs="方正楷体_GB2312"/>
          <w:sz w:val="24"/>
          <w:szCs w:val="24"/>
          <w:lang w:val="en-US" w:eastAsia="zh-CN"/>
        </w:rPr>
        <w:tab/>
      </w:r>
    </w:p>
    <w:p w14:paraId="36062EB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C.知人善任，努力培养知已</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 xml:space="preserve">     D.坚持原则，不计个人得失</w:t>
      </w:r>
    </w:p>
    <w:p w14:paraId="12684FF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正确答案:D</w:t>
      </w:r>
    </w:p>
    <w:p w14:paraId="63F9C7C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301.FX</w:t>
      </w:r>
      <w:r>
        <w:rPr>
          <w:rFonts w:hint="eastAsia" w:ascii="方正楷体_GB2312" w:hAnsi="方正楷体_GB2312" w:eastAsia="方正楷体_GB2312" w:cs="方正楷体_GB2312"/>
          <w:sz w:val="24"/>
          <w:szCs w:val="24"/>
          <w:vertAlign w:val="subscript"/>
          <w:lang w:val="en-US" w:eastAsia="zh-CN"/>
        </w:rPr>
        <w:t>2N</w:t>
      </w:r>
      <w:r>
        <w:rPr>
          <w:rFonts w:hint="eastAsia" w:ascii="方正楷体_GB2312" w:hAnsi="方正楷体_GB2312" w:eastAsia="方正楷体_GB2312" w:cs="方正楷体_GB2312"/>
          <w:sz w:val="24"/>
          <w:szCs w:val="24"/>
          <w:lang w:val="en-US" w:eastAsia="zh-CN"/>
        </w:rPr>
        <w:t>PLC的通信口是(    )模式。</w:t>
      </w:r>
    </w:p>
    <w:p w14:paraId="0EC627C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A.RS232    B.RS485</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C.RS422</w:t>
      </w:r>
      <w:r>
        <w:rPr>
          <w:rFonts w:hint="eastAsia" w:ascii="方正楷体_GB2312" w:hAnsi="方正楷体_GB2312" w:eastAsia="方正楷体_GB2312" w:cs="方正楷体_GB2312"/>
          <w:sz w:val="24"/>
          <w:szCs w:val="24"/>
          <w:lang w:val="en-US" w:eastAsia="zh-CN"/>
        </w:rPr>
        <w:tab/>
      </w:r>
      <w:r>
        <w:rPr>
          <w:rFonts w:hint="eastAsia" w:ascii="方正楷体_GB2312" w:hAnsi="方正楷体_GB2312" w:eastAsia="方正楷体_GB2312" w:cs="方正楷体_GB2312"/>
          <w:sz w:val="24"/>
          <w:szCs w:val="24"/>
          <w:lang w:val="en-US" w:eastAsia="zh-CN"/>
        </w:rPr>
        <w:t>D.USB</w:t>
      </w:r>
    </w:p>
    <w:p w14:paraId="637E36D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lang w:val="en-US" w:eastAsia="zh-CN"/>
        </w:rPr>
        <w:t>正确答案: C</w:t>
      </w:r>
    </w:p>
    <w:p w14:paraId="5403CB9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302.凝露的干燥是为了防止因潮湿而降低软启动器的(    )，及其可能造成的危害。</w:t>
      </w:r>
    </w:p>
    <w:p w14:paraId="1CCD9FA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A.使用效率</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B.绝缘等级</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C.散热效果</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D.接触不良</w:t>
      </w:r>
    </w:p>
    <w:p w14:paraId="7D90866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C</w:t>
      </w:r>
    </w:p>
    <w:p w14:paraId="5D3BA6A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303.变频器中的电压型逆变器的直流输入端大多(    )。</w:t>
      </w:r>
    </w:p>
    <w:p w14:paraId="6769260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A.并联大电容</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B.串联大电感</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C.串联大电容</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D.并联大电感</w:t>
      </w:r>
    </w:p>
    <w:p w14:paraId="79AD0EC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A</w:t>
      </w:r>
    </w:p>
    <w:p w14:paraId="2020D04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304.当检测远距离的的物体时应优先选用(    )光电开关</w:t>
      </w:r>
    </w:p>
    <w:p w14:paraId="43DB06F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A.光纤式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B.槽式</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C.对射式</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D.漫反射式</w:t>
      </w:r>
    </w:p>
    <w:p w14:paraId="6211193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A</w:t>
      </w:r>
    </w:p>
    <w:p w14:paraId="6FB150D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305.晶闸管电路中串入快速熔断器的目的是(    )。</w:t>
      </w:r>
    </w:p>
    <w:p w14:paraId="55ED330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A.过压保护</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B.过流保护</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C.过热保护</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D.过冷保护</w:t>
      </w:r>
    </w:p>
    <w:p w14:paraId="32731CC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B</w:t>
      </w:r>
    </w:p>
    <w:p w14:paraId="6AA2514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306.在变频器的输出侧切勿安装(    )。</w:t>
      </w:r>
    </w:p>
    <w:p w14:paraId="76D2258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A.移相电容</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B.交流电抗器</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C.噪声滤波器</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D.测试仪表</w:t>
      </w:r>
    </w:p>
    <w:p w14:paraId="734B284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A</w:t>
      </w:r>
    </w:p>
    <w:p w14:paraId="39D6A58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307.普通晶闸管属于(    )器件。</w:t>
      </w:r>
    </w:p>
    <w:p w14:paraId="5EA3F91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A.不控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B.半控</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C.全控</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D.自控</w:t>
      </w:r>
    </w:p>
    <w:p w14:paraId="314DFD9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B</w:t>
      </w:r>
    </w:p>
    <w:p w14:paraId="0107C1C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308.根据电机正反转梯形图，下列指令正确的是(    )。</w:t>
      </w:r>
    </w:p>
    <w:p w14:paraId="5942050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A.ORI YO02</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B.LDI X001</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C.ANDXO00</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D.ANDI X002</w:t>
      </w:r>
    </w:p>
    <w:p w14:paraId="4DCA89B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正确答案：D</w:t>
      </w:r>
    </w:p>
    <w:p w14:paraId="43EDDEE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309.射极输出器的输出电阻小说明该电路的(    )。</w:t>
      </w:r>
    </w:p>
    <w:p w14:paraId="74A32DE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A.带负载能力强</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B.带负载能力差</w:t>
      </w:r>
      <w:r>
        <w:rPr>
          <w:rFonts w:hint="eastAsia" w:ascii="方正楷体_GB2312" w:hAnsi="方正楷体_GB2312" w:eastAsia="方正楷体_GB2312" w:cs="方正楷体_GB2312"/>
          <w:b w:val="0"/>
          <w:bCs w:val="0"/>
          <w:sz w:val="24"/>
          <w:szCs w:val="24"/>
          <w:lang w:val="en-US" w:eastAsia="zh-CN"/>
        </w:rPr>
        <w:tab/>
      </w:r>
    </w:p>
    <w:p w14:paraId="24F7882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C.减轻前级或信号源负荷</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D.取信号能力强</w:t>
      </w:r>
    </w:p>
    <w:p w14:paraId="6E0608D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A</w:t>
      </w:r>
    </w:p>
    <w:p w14:paraId="76E56DB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310.</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C6150车床快速移动电动机通过(    )控制正反转。</w:t>
      </w:r>
    </w:p>
    <w:p w14:paraId="00F8008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b w:val="0"/>
          <w:bCs w:val="0"/>
          <w:sz w:val="24"/>
          <w:szCs w:val="24"/>
          <w:lang w:val="en-US" w:eastAsia="zh-CN"/>
        </w:rPr>
        <w:t>A.三位置自动复位开关</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B.两个交流接触器</w:t>
      </w:r>
      <w:r>
        <w:rPr>
          <w:rFonts w:hint="eastAsia" w:ascii="方正楷体_GB2312" w:hAnsi="方正楷体_GB2312" w:eastAsia="方正楷体_GB2312" w:cs="方正楷体_GB2312"/>
          <w:sz w:val="24"/>
          <w:szCs w:val="24"/>
          <w:lang w:val="en-US" w:eastAsia="zh-CN"/>
        </w:rPr>
        <w:t xml:space="preserve">    </w:t>
      </w:r>
    </w:p>
    <w:p w14:paraId="32EA25A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C.两个低压断路器</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D.三个热继电器</w:t>
      </w:r>
    </w:p>
    <w:p w14:paraId="5B24ADF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A</w:t>
      </w:r>
    </w:p>
    <w:p w14:paraId="0796264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311.下列不是晶体管毫伏表的特性是(    )。</w:t>
      </w:r>
    </w:p>
    <w:p w14:paraId="737131B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A.测量量限大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B.灵敏度低</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C.输入阻抗高</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D.输出电容小</w:t>
      </w:r>
    </w:p>
    <w:p w14:paraId="3AD26B1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B</w:t>
      </w:r>
    </w:p>
    <w:p w14:paraId="46F8718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312.BK系列控制变压器适用于机械设备中一般电器的(    )、局部照明及指示电源。</w:t>
      </w:r>
    </w:p>
    <w:p w14:paraId="57AB412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A.电动机</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B.油泵</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C.控制电源</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D.压缩机</w:t>
      </w:r>
    </w:p>
    <w:p w14:paraId="620C425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C</w:t>
      </w:r>
    </w:p>
    <w:p w14:paraId="3FE30C2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313.</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C6150车床主轴的转向与主轴电动机的转向(    )。</w:t>
      </w:r>
    </w:p>
    <w:p w14:paraId="0B77739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A.必然相同</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B.相反</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C.无关</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D.一致</w:t>
      </w:r>
    </w:p>
    <w:p w14:paraId="5AC580F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C</w:t>
      </w:r>
    </w:p>
    <w:p w14:paraId="2B9D6CD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314.PLC(    )阶段读入输入信号将按钮、开关触点、传感器等输入信号读入到存储器内，读入的信号一直保持到下一次该信号再次被读入时为止，即经过一个扫描周期。</w:t>
      </w:r>
    </w:p>
    <w:p w14:paraId="5E8E7F7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A.输出采样</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B.输入采样</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C.程序执行</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D.输出刷新</w:t>
      </w:r>
    </w:p>
    <w:p w14:paraId="17740DC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B</w:t>
      </w:r>
    </w:p>
    <w:p w14:paraId="41554F4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324.固定偏置共射极放大电路已知R</w:t>
      </w:r>
      <w:r>
        <w:rPr>
          <w:rFonts w:hint="eastAsia" w:ascii="方正楷体_GB2312" w:hAnsi="方正楷体_GB2312" w:eastAsia="方正楷体_GB2312" w:cs="方正楷体_GB2312"/>
          <w:b w:val="0"/>
          <w:bCs w:val="0"/>
          <w:sz w:val="24"/>
          <w:szCs w:val="24"/>
          <w:vertAlign w:val="subscript"/>
          <w:lang w:val="en-US" w:eastAsia="zh-CN"/>
        </w:rPr>
        <w:t>B</w:t>
      </w:r>
      <w:r>
        <w:rPr>
          <w:rFonts w:hint="eastAsia" w:ascii="方正楷体_GB2312" w:hAnsi="方正楷体_GB2312" w:eastAsia="方正楷体_GB2312" w:cs="方正楷体_GB2312"/>
          <w:b w:val="0"/>
          <w:bCs w:val="0"/>
          <w:sz w:val="24"/>
          <w:szCs w:val="24"/>
          <w:lang w:val="en-US" w:eastAsia="zh-CN"/>
        </w:rPr>
        <w:t>=300KΩ，R</w:t>
      </w:r>
      <w:r>
        <w:rPr>
          <w:rFonts w:hint="eastAsia" w:ascii="方正楷体_GB2312" w:hAnsi="方正楷体_GB2312" w:eastAsia="方正楷体_GB2312" w:cs="方正楷体_GB2312"/>
          <w:b w:val="0"/>
          <w:bCs w:val="0"/>
          <w:sz w:val="24"/>
          <w:szCs w:val="24"/>
          <w:vertAlign w:val="subscript"/>
          <w:lang w:val="en-US" w:eastAsia="zh-CN"/>
        </w:rPr>
        <w:tab/>
      </w:r>
      <w:r>
        <w:rPr>
          <w:rFonts w:hint="eastAsia" w:ascii="方正楷体_GB2312" w:hAnsi="方正楷体_GB2312" w:eastAsia="方正楷体_GB2312" w:cs="方正楷体_GB2312"/>
          <w:b w:val="0"/>
          <w:bCs w:val="0"/>
          <w:sz w:val="24"/>
          <w:szCs w:val="24"/>
          <w:vertAlign w:val="subscript"/>
          <w:lang w:val="en-US" w:eastAsia="zh-CN"/>
        </w:rPr>
        <w:t>C</w:t>
      </w:r>
      <w:r>
        <w:rPr>
          <w:rFonts w:hint="eastAsia" w:ascii="方正楷体_GB2312" w:hAnsi="方正楷体_GB2312" w:eastAsia="方正楷体_GB2312" w:cs="方正楷体_GB2312"/>
          <w:b w:val="0"/>
          <w:bCs w:val="0"/>
          <w:sz w:val="24"/>
          <w:szCs w:val="24"/>
          <w:lang w:val="en-US" w:eastAsia="zh-CN"/>
        </w:rPr>
        <w:t>=4KΩ，Vcc=12V，β=50则U</w:t>
      </w:r>
      <w:r>
        <w:rPr>
          <w:rFonts w:hint="eastAsia" w:ascii="方正楷体_GB2312" w:hAnsi="方正楷体_GB2312" w:eastAsia="方正楷体_GB2312" w:cs="方正楷体_GB2312"/>
          <w:b w:val="0"/>
          <w:bCs w:val="0"/>
          <w:sz w:val="24"/>
          <w:szCs w:val="24"/>
          <w:vertAlign w:val="subscript"/>
          <w:lang w:val="en-US" w:eastAsia="zh-CN"/>
        </w:rPr>
        <w:t>CEQ</w:t>
      </w:r>
      <w:r>
        <w:rPr>
          <w:rFonts w:hint="eastAsia" w:ascii="方正楷体_GB2312" w:hAnsi="方正楷体_GB2312" w:eastAsia="方正楷体_GB2312" w:cs="方正楷体_GB2312"/>
          <w:b w:val="0"/>
          <w:bCs w:val="0"/>
          <w:sz w:val="24"/>
          <w:szCs w:val="24"/>
          <w:lang w:val="en-US" w:eastAsia="zh-CN"/>
        </w:rPr>
        <w:t>为(    )V。</w:t>
      </w:r>
    </w:p>
    <w:p w14:paraId="51902CE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A.6</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B.4</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C.3</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D.8</w:t>
      </w:r>
    </w:p>
    <w:p w14:paraId="5492873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B</w:t>
      </w:r>
    </w:p>
    <w:p w14:paraId="096F557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315.下列关于勤劳节俭的论述中，不正确的选项是(    )。</w:t>
      </w:r>
    </w:p>
    <w:p w14:paraId="130DD0B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A.企业可提倡勤劳，但不宜提倡节俭</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B.“一分钟应看成是八分钟</w:t>
      </w:r>
    </w:p>
    <w:p w14:paraId="5663817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C.勤劳节俭符合可持续发展的要求</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D.“节省一块钱，就等于净赚一块钱</w:t>
      </w:r>
    </w:p>
    <w:p w14:paraId="0994A41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A</w:t>
      </w:r>
    </w:p>
    <w:p w14:paraId="11D33E2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316.交流电动机最佳的启动效果是:(    )。</w:t>
      </w:r>
    </w:p>
    <w:p w14:paraId="10D26A9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A.启动电流越小越好</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B.启动电流越大越好</w:t>
      </w:r>
      <w:r>
        <w:rPr>
          <w:rFonts w:hint="eastAsia" w:ascii="方正楷体_GB2312" w:hAnsi="方正楷体_GB2312" w:eastAsia="方正楷体_GB2312" w:cs="方正楷体_GB2312"/>
          <w:b w:val="0"/>
          <w:bCs w:val="0"/>
          <w:sz w:val="24"/>
          <w:szCs w:val="24"/>
          <w:lang w:val="en-US" w:eastAsia="zh-CN"/>
        </w:rPr>
        <w:tab/>
      </w:r>
    </w:p>
    <w:p w14:paraId="4B51504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C.(可调)恒流启动</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D.(可调)恒压启动</w:t>
      </w:r>
    </w:p>
    <w:p w14:paraId="1FDFA06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C</w:t>
      </w:r>
    </w:p>
    <w:p w14:paraId="02DC2BE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317.对于小型开关量PL</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C梯形图程序，一般只有(    )。</w:t>
      </w:r>
    </w:p>
    <w:p w14:paraId="5624E509">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A.初始化程序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B.子程序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C.中断程序</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D.主程序</w:t>
      </w:r>
    </w:p>
    <w:p w14:paraId="7CCB9F8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正确答案:D</w:t>
      </w:r>
    </w:p>
    <w:p w14:paraId="71B9C8D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318.差动放大电路能放大(    )。</w:t>
      </w:r>
    </w:p>
    <w:p w14:paraId="37161B1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A.直流信号</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B.交流信号</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C.共模信号</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D.差模信号</w:t>
      </w:r>
    </w:p>
    <w:p w14:paraId="2FD4480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正确答案:D</w:t>
      </w:r>
    </w:p>
    <w:p w14:paraId="4977513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319.TTL与非门电路高电平的产品典型值通常不低于(    )伏。</w:t>
      </w:r>
    </w:p>
    <w:p w14:paraId="1E538D9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A.3</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B.4</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C.2</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D.2.4</w:t>
      </w:r>
    </w:p>
    <w:p w14:paraId="4F33A2F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正确答案:D</w:t>
      </w:r>
    </w:p>
    <w:p w14:paraId="1B6E14C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320.串联电阻的分压作用是阻值越大电压越(    )。</w:t>
      </w:r>
    </w:p>
    <w:p w14:paraId="5C2BD10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B.大</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C.增大</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D.减小</w:t>
      </w:r>
    </w:p>
    <w:p w14:paraId="6A11D6C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B</w:t>
      </w:r>
    </w:p>
    <w:p w14:paraId="706C4B3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321.在职业活动中，不符合待人热情要求的是(    )。</w:t>
      </w:r>
    </w:p>
    <w:p w14:paraId="5E8AA54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A.严肃待客，表情冷漠</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B.主动服务，细致周到</w:t>
      </w:r>
    </w:p>
    <w:p w14:paraId="1369BFF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C.微笑大方，不厌其烦</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D.亲切友好，宾至如归</w:t>
      </w:r>
    </w:p>
    <w:p w14:paraId="760DB26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A</w:t>
      </w:r>
    </w:p>
    <w:p w14:paraId="6FD9819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322.直流电动机的各种制动方法中，消耗电能最多的方法是(    )。</w:t>
      </w:r>
    </w:p>
    <w:p w14:paraId="1B2447C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A.反接制动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B.能耗制动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C.回馈制动</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D.再生制动</w:t>
      </w:r>
    </w:p>
    <w:p w14:paraId="2534DAB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A</w:t>
      </w:r>
    </w:p>
    <w:p w14:paraId="680CA70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323.当电阻为8.66Ω与感抗为5Ω串联时，电路的功率因数为(    )。</w:t>
      </w:r>
    </w:p>
    <w:p w14:paraId="76C071F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A.0.5</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B.0.866</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C.1</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D.0.6</w:t>
      </w:r>
    </w:p>
    <w:p w14:paraId="33FF791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B</w:t>
      </w:r>
    </w:p>
    <w:p w14:paraId="2EAEE22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324.软启动器(    )常用于短时重复工作的电动机。</w:t>
      </w:r>
    </w:p>
    <w:p w14:paraId="7EEB369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A.跨越运行模式</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B.接触器旁路运行模式</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C.节能运行模式</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D.调压调速运行模式</w:t>
      </w:r>
    </w:p>
    <w:p w14:paraId="77032CF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C</w:t>
      </w:r>
    </w:p>
    <w:p w14:paraId="674BFD2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325.三相异步电动机的各种电气制动方法中，能量损耗最多的是(    )。</w:t>
      </w:r>
    </w:p>
    <w:p w14:paraId="190C78A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A.反接制动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B.能耗制动</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C.回馈制动</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D.再生制动</w:t>
      </w:r>
    </w:p>
    <w:p w14:paraId="4F03884E">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A</w:t>
      </w:r>
    </w:p>
    <w:p w14:paraId="57BE007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326.SPWM型变频器的变压变频，通常是通过改变(    )来实现的。</w:t>
      </w:r>
    </w:p>
    <w:p w14:paraId="20DF6E9C">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A.参考信号正弦值的幅值和频率</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B.载波信号三角波的幅值和频率</w:t>
      </w:r>
    </w:p>
    <w:p w14:paraId="449515D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C.参考信号和载波信号两者的幅值和频率</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D.参考信号的幅值和载波信号的频率</w:t>
      </w:r>
    </w:p>
    <w:p w14:paraId="081AC7D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A</w:t>
      </w:r>
    </w:p>
    <w:p w14:paraId="71ED77A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327.高频振荡电感型接近开关的感应头附近有金属物体接近时，接近开关(    )。</w:t>
      </w:r>
    </w:p>
    <w:p w14:paraId="4EFE5BA0">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A.涡流损耗减少</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B.振荡电路工作</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C.有信号输出</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D.无信号输出</w:t>
      </w:r>
    </w:p>
    <w:p w14:paraId="3C123FC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C</w:t>
      </w:r>
    </w:p>
    <w:p w14:paraId="1352948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328.三相异步电动机的启停控制线路中需要有(    )、过载保护和失压保护功能。</w:t>
      </w:r>
    </w:p>
    <w:p w14:paraId="22C33FE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A.短路保护</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B.超速保护</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C.失磁保护</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D.零速保护</w:t>
      </w:r>
    </w:p>
    <w:p w14:paraId="2908B18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A</w:t>
      </w:r>
    </w:p>
    <w:p w14:paraId="2B39AE7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329.FX</w:t>
      </w:r>
      <w:r>
        <w:rPr>
          <w:rFonts w:hint="eastAsia" w:ascii="方正楷体_GB2312" w:hAnsi="方正楷体_GB2312" w:eastAsia="方正楷体_GB2312" w:cs="方正楷体_GB2312"/>
          <w:b w:val="0"/>
          <w:bCs w:val="0"/>
          <w:sz w:val="24"/>
          <w:szCs w:val="24"/>
          <w:vertAlign w:val="subscript"/>
          <w:lang w:val="en-US" w:eastAsia="zh-CN"/>
        </w:rPr>
        <w:t>2N</w:t>
      </w:r>
      <w:r>
        <w:rPr>
          <w:rFonts w:hint="eastAsia" w:ascii="方正楷体_GB2312" w:hAnsi="方正楷体_GB2312" w:eastAsia="方正楷体_GB2312" w:cs="方正楷体_GB2312"/>
          <w:b w:val="0"/>
          <w:bCs w:val="0"/>
          <w:sz w:val="24"/>
          <w:szCs w:val="24"/>
          <w:lang w:val="en-US" w:eastAsia="zh-CN"/>
        </w:rPr>
        <w:t>可编程序控制器DC24V输出电源，可以为(    )供电。</w:t>
      </w:r>
    </w:p>
    <w:p w14:paraId="6206377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A.电磁阀</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B.交流接触器</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C.负载</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D.光电传感器</w:t>
      </w:r>
    </w:p>
    <w:p w14:paraId="64D8311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正确答案:D</w:t>
      </w:r>
    </w:p>
    <w:p w14:paraId="7CAF900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330.变频器常见的频率给定方式主要有操作器键盘给定、控制输入端给定、模拟信号给定、及通信方式给定等，来自PLC控制系统的给定不采用(    )方式。</w:t>
      </w:r>
    </w:p>
    <w:p w14:paraId="4902BCD8">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A.键盘给定</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B.控制输入端给定</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C.模拟信号给定</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D.通信方式给定</w:t>
      </w:r>
    </w:p>
    <w:p w14:paraId="171F441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A</w:t>
      </w:r>
    </w:p>
    <w:p w14:paraId="318F316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331. 晶闸管两端(    )的目的是实现过压保护。</w:t>
      </w:r>
    </w:p>
    <w:p w14:paraId="57C00F7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A.串联快速熔断器</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B.并联快速熔断器</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C.并联压敏电阻</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D.串联压敏电阻</w:t>
      </w:r>
    </w:p>
    <w:p w14:paraId="75E5915D">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C</w:t>
      </w:r>
    </w:p>
    <w:p w14:paraId="39C4789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332.RC选频振荡电路，当电路发生谐振时，选频电路的相位移为()度。</w:t>
      </w:r>
    </w:p>
    <w:p w14:paraId="2CC2994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A.90</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B.180</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C.0</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D.-90</w:t>
      </w:r>
    </w:p>
    <w:p w14:paraId="3B0177F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C</w:t>
      </w:r>
    </w:p>
    <w:p w14:paraId="0DD96BC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333.可编程控制器在RUN模式下，执行顺序是(    )。</w:t>
      </w:r>
    </w:p>
    <w:p w14:paraId="04A73A5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A.输入采样→执行用户程序→输出刷新</w:t>
      </w:r>
    </w:p>
    <w:p w14:paraId="37C0259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B.执行用户程序→输入采样→输出刷新</w:t>
      </w:r>
      <w:r>
        <w:rPr>
          <w:rFonts w:hint="eastAsia" w:ascii="方正楷体_GB2312" w:hAnsi="方正楷体_GB2312" w:eastAsia="方正楷体_GB2312" w:cs="方正楷体_GB2312"/>
          <w:b w:val="0"/>
          <w:bCs w:val="0"/>
          <w:sz w:val="24"/>
          <w:szCs w:val="24"/>
          <w:lang w:val="en-US" w:eastAsia="zh-CN"/>
        </w:rPr>
        <w:tab/>
      </w:r>
    </w:p>
    <w:p w14:paraId="0B01F5A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C.输入采样→输出刷新→执行用户程序</w:t>
      </w:r>
      <w:r>
        <w:rPr>
          <w:rFonts w:hint="eastAsia" w:ascii="方正楷体_GB2312" w:hAnsi="方正楷体_GB2312" w:eastAsia="方正楷体_GB2312" w:cs="方正楷体_GB2312"/>
          <w:b w:val="0"/>
          <w:bCs w:val="0"/>
          <w:sz w:val="24"/>
          <w:szCs w:val="24"/>
          <w:lang w:val="en-US" w:eastAsia="zh-CN"/>
        </w:rPr>
        <w:tab/>
      </w:r>
    </w:p>
    <w:p w14:paraId="2E97457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D.以上都不对</w:t>
      </w:r>
    </w:p>
    <w:p w14:paraId="10AA6A13">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A</w:t>
      </w:r>
    </w:p>
    <w:p w14:paraId="3F0B9F44">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334.共射极放大电路的输出电阻比共基极放大电路的输出电阻是(    )。</w:t>
      </w:r>
    </w:p>
    <w:p w14:paraId="67BFC50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A.大</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B.小</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C.相等</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D.不定</w:t>
      </w:r>
    </w:p>
    <w:p w14:paraId="1DE73967">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 xml:space="preserve">正确答案; </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w:t>
      </w:r>
    </w:p>
    <w:p w14:paraId="195DBCF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335.C6150车床其他正常，而主轴无制动时，应重点检修(    )。</w:t>
      </w:r>
    </w:p>
    <w:p w14:paraId="48085632">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A.电源进线开关</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B.接触器KM1和KM2的常闭触点</w:t>
      </w:r>
      <w:r>
        <w:rPr>
          <w:rFonts w:hint="eastAsia" w:ascii="方正楷体_GB2312" w:hAnsi="方正楷体_GB2312" w:eastAsia="方正楷体_GB2312" w:cs="方正楷体_GB2312"/>
          <w:b w:val="0"/>
          <w:bCs w:val="0"/>
          <w:sz w:val="24"/>
          <w:szCs w:val="24"/>
          <w:lang w:val="en-US" w:eastAsia="zh-CN"/>
        </w:rPr>
        <w:tab/>
      </w:r>
    </w:p>
    <w:p w14:paraId="47F947D5">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C.控制变压器T</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C</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D.中间继电器KA1和KA2的常闭触点</w:t>
      </w:r>
    </w:p>
    <w:p w14:paraId="75B31B6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正确答案:D</w:t>
      </w:r>
    </w:p>
    <w:p w14:paraId="7DBBC7C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336.软启动器具有轻载节能运行功能的关键在于(    )。</w:t>
      </w:r>
    </w:p>
    <w:p w14:paraId="08C6212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A.选择最佳电压来降低气隙磁通</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B.选择最佳电流来降低气隙磁通</w:t>
      </w:r>
      <w:r>
        <w:rPr>
          <w:rFonts w:hint="eastAsia" w:ascii="方正楷体_GB2312" w:hAnsi="方正楷体_GB2312" w:eastAsia="方正楷体_GB2312" w:cs="方正楷体_GB2312"/>
          <w:b w:val="0"/>
          <w:bCs w:val="0"/>
          <w:sz w:val="24"/>
          <w:szCs w:val="24"/>
          <w:lang w:val="en-US" w:eastAsia="zh-CN"/>
        </w:rPr>
        <w:tab/>
      </w:r>
    </w:p>
    <w:p w14:paraId="7667441A">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C.提高电压来降低气隙磁通</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D.降低电压来降低气隙磁通</w:t>
      </w:r>
    </w:p>
    <w:p w14:paraId="5299DE4F">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A</w:t>
      </w:r>
    </w:p>
    <w:p w14:paraId="71FB91F6">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337.三相异步电动机再生制动时，定子绕组中流过(    )。</w:t>
      </w:r>
    </w:p>
    <w:p w14:paraId="76AA4421">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A.高压电</w:t>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B.直流电</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sz w:val="24"/>
          <w:szCs w:val="24"/>
          <w:lang w:val="en-US" w:eastAsia="zh-CN"/>
        </w:rPr>
        <w:t xml:space="preserve">    </w:t>
      </w:r>
      <w:r>
        <w:rPr>
          <w:rFonts w:hint="eastAsia" w:ascii="方正楷体_GB2312" w:hAnsi="方正楷体_GB2312" w:eastAsia="方正楷体_GB2312" w:cs="方正楷体_GB2312"/>
          <w:b w:val="0"/>
          <w:bCs w:val="0"/>
          <w:sz w:val="24"/>
          <w:szCs w:val="24"/>
          <w:lang w:val="en-US" w:eastAsia="zh-CN"/>
        </w:rPr>
        <w:t>C.三相交流电</w:t>
      </w:r>
      <w:r>
        <w:rPr>
          <w:rFonts w:hint="eastAsia" w:ascii="方正楷体_GB2312" w:hAnsi="方正楷体_GB2312" w:eastAsia="方正楷体_GB2312" w:cs="方正楷体_GB2312"/>
          <w:b w:val="0"/>
          <w:bCs w:val="0"/>
          <w:sz w:val="24"/>
          <w:szCs w:val="24"/>
          <w:lang w:val="en-US" w:eastAsia="zh-CN"/>
        </w:rPr>
        <w:tab/>
      </w:r>
      <w:r>
        <w:rPr>
          <w:rFonts w:hint="eastAsia" w:ascii="方正楷体_GB2312" w:hAnsi="方正楷体_GB2312" w:eastAsia="方正楷体_GB2312" w:cs="方正楷体_GB2312"/>
          <w:b w:val="0"/>
          <w:bCs w:val="0"/>
          <w:sz w:val="24"/>
          <w:szCs w:val="24"/>
          <w:lang w:val="en-US" w:eastAsia="zh-CN"/>
        </w:rPr>
        <w:t>D.单相交流电</w:t>
      </w:r>
    </w:p>
    <w:p w14:paraId="61B8043B">
      <w:pPr>
        <w:keepNext w:val="0"/>
        <w:keepLines w:val="0"/>
        <w:pageBreakBefore w:val="0"/>
        <w:widowControl/>
        <w:tabs>
          <w:tab w:val="left" w:pos="420"/>
          <w:tab w:val="left" w:pos="2100"/>
          <w:tab w:val="left" w:pos="2520"/>
          <w:tab w:val="left" w:pos="4200"/>
          <w:tab w:val="left" w:pos="4620"/>
          <w:tab w:val="left" w:pos="6300"/>
          <w:tab w:val="left" w:pos="6720"/>
        </w:tabs>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b w:val="0"/>
          <w:bCs w:val="0"/>
          <w:sz w:val="24"/>
          <w:szCs w:val="24"/>
          <w:lang w:val="en-US" w:eastAsia="zh-CN"/>
        </w:rPr>
      </w:pPr>
      <w:r>
        <w:rPr>
          <w:rFonts w:hint="eastAsia" w:ascii="方正楷体_GB2312" w:hAnsi="方正楷体_GB2312" w:eastAsia="方正楷体_GB2312" w:cs="方正楷体_GB2312"/>
          <w:b w:val="0"/>
          <w:bCs w:val="0"/>
          <w:sz w:val="24"/>
          <w:szCs w:val="24"/>
          <w:lang w:val="en-US" w:eastAsia="zh-CN"/>
        </w:rPr>
        <w:t>正确答案: C</w:t>
      </w:r>
    </w:p>
    <w:p w14:paraId="20058A49">
      <w:pPr>
        <w:numPr>
          <w:ilvl w:val="0"/>
          <w:numId w:val="7"/>
        </w:numPr>
        <w:kinsoku w:val="0"/>
        <w:autoSpaceDE w:val="0"/>
        <w:autoSpaceDN w:val="0"/>
        <w:adjustRightInd w:val="0"/>
        <w:snapToGrid w:val="0"/>
        <w:spacing w:line="540" w:lineRule="exact"/>
        <w:textAlignment w:val="baseline"/>
        <w:outlineLvl w:val="0"/>
        <w:rPr>
          <w:rFonts w:hint="eastAsia" w:ascii="仿宋" w:hAnsi="仿宋" w:eastAsia="仿宋" w:cs="仿宋"/>
          <w:spacing w:val="-4"/>
          <w:sz w:val="30"/>
          <w:szCs w:val="30"/>
          <w:lang w:val="en-US" w:eastAsia="zh-CN"/>
        </w:rPr>
      </w:pPr>
      <w:bookmarkStart w:id="21" w:name="_Toc19396"/>
      <w:r>
        <w:rPr>
          <w:rFonts w:hint="eastAsia" w:ascii="仿宋" w:hAnsi="仿宋" w:eastAsia="仿宋" w:cs="仿宋"/>
          <w:spacing w:val="-4"/>
          <w:sz w:val="30"/>
          <w:szCs w:val="30"/>
          <w:lang w:val="en-US" w:eastAsia="zh-CN"/>
        </w:rPr>
        <w:t>判断题</w:t>
      </w:r>
      <w:bookmarkEnd w:id="21"/>
    </w:p>
    <w:p w14:paraId="37E862DB">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职业纪律中包括群众纪律。 </w:t>
      </w:r>
    </w:p>
    <w:p w14:paraId="05F130E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60EEA46A">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职业道德具有自愿性的特点。</w:t>
      </w:r>
    </w:p>
    <w:p w14:paraId="2A2BC482">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44C7C897">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职业道德对企业起到增强竞争力的作用。</w:t>
      </w:r>
    </w:p>
    <w:p w14:paraId="3C22608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5E8AE77A">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职业道德是指从事一定职业的人们,在长期职业活动中形成的操作技能。</w:t>
      </w:r>
    </w:p>
    <w:p w14:paraId="4FA383C3">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7FBD73AA">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电击伤害不是造成触电死亡的主要原因,不是最严重的触电事故。</w:t>
      </w:r>
    </w:p>
    <w:p w14:paraId="030F7A0E">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61D7DF47">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在爆炸危险场所,如有良好的通风装置,能降低爆炸混合物的浓度,也能降低场所的危险等级。 </w:t>
      </w:r>
    </w:p>
    <w:p w14:paraId="5FA1DC9E">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247CE6EA">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生态破坏是指由于环境污染和破坏,对多数人的健康、生命、财产造成的公共性危害。 </w:t>
      </w:r>
    </w:p>
    <w:p w14:paraId="10B41A7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04321BD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电压的方向规定由低电位指向高电位。</w:t>
      </w:r>
    </w:p>
    <w:p w14:paraId="3FA3ABF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1D9C9F09">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电解电容有正负极,使用时负极接高电位,正极接低电位。</w:t>
      </w:r>
    </w:p>
    <w:p w14:paraId="196C7E9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0D72C35C">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磁感应强度只决定于电流的大小和线圈的几何形状,与磁介质无关,而磁感应强度与磁导率有关。</w:t>
      </w:r>
    </w:p>
    <w:p w14:paraId="7688D7A4">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6BE34FF4">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交流电是指大小和方向随时间作周期变化的电动势。交流电分为止弦交流电和非正弦交流电两大类,应用最普遍的是非正弦交流电。</w:t>
      </w:r>
    </w:p>
    <w:p w14:paraId="68355B1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511AB344">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电容两端的电压超前电流90 °。</w:t>
      </w:r>
    </w:p>
    <w:p w14:paraId="5A61D3F0">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10714A7D">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线电压为相电压的3倍,同时线电压的相位超前相电压30。</w:t>
      </w:r>
    </w:p>
    <w:p w14:paraId="6418F48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3EC7C430">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磁路和电路一样，也有开路状态。</w:t>
      </w:r>
    </w:p>
    <w:p w14:paraId="2F11736A">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12B959D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变压器的故障可分为内部故障和外部故障。</w:t>
      </w:r>
    </w:p>
    <w:p w14:paraId="71B11D0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22D1E9DF">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电压调整率是变压器的主要性能指标之一，对于电力变压器，由于一、二次绕组的电阻和漏抗都很小，因此额定负载时，电压调整率为4%~6%。</w:t>
      </w:r>
    </w:p>
    <w:p w14:paraId="1D5C78F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6C26A9EC">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发电机发出的“嗡嗡”声，属于气体动力噪声。</w:t>
      </w:r>
    </w:p>
    <w:p w14:paraId="068AF0C7">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36BEC50C">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变压器的“嗡嗡”声属于机械噪声。</w:t>
      </w:r>
    </w:p>
    <w:p w14:paraId="594ED47A">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正确答案：</w:t>
      </w:r>
      <w:r>
        <w:rPr>
          <w:rFonts w:hint="eastAsia" w:ascii="方正楷体_GB2312" w:hAnsi="方正楷体_GB2312" w:eastAsia="方正楷体_GB2312" w:cs="方正楷体_GB2312"/>
          <w:sz w:val="24"/>
          <w:szCs w:val="24"/>
          <w:lang w:eastAsia="zh-CN"/>
        </w:rPr>
        <w:t>B  </w:t>
      </w:r>
    </w:p>
    <w:p w14:paraId="1DB6D334">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用耳塞、耳罩、耳棉等个人防护用品来防止噪声的干扰，在所有场合都是有效的。</w:t>
      </w:r>
    </w:p>
    <w:p w14:paraId="5AB06393">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39DA8B20">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质量管理是企业经营管理的一个重要内容，是企业的生命线。</w:t>
      </w:r>
    </w:p>
    <w:p w14:paraId="1C9D263B">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772A3D06">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劳动者患病或负伤，在规定的医疗期内的，用人单位可以解除劳动合同。</w:t>
      </w:r>
    </w:p>
    <w:p w14:paraId="1137D5A3">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64B56332">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从提高测量准确度的角度来看，测量时仪表的准确度等级精度越高越好，所以在选择仪表时，可不必考虑经济性，尽管追求仪表的准确度。</w:t>
      </w:r>
    </w:p>
    <w:p w14:paraId="6C1D134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1B67FC37">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电工指示仪表在使用时，准确度等级为5.0级的仪表可用于实验室。</w:t>
      </w:r>
    </w:p>
    <w:p w14:paraId="469F192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5B6BFD6F">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仪表的准确度等级的表示，是仪表在正常条件下时相对误差的百分数。</w:t>
      </w:r>
    </w:p>
    <w:p w14:paraId="47E2F62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3AEE62D9">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在500V及以下的直流电路中，不允许使用直接接入的电表。</w:t>
      </w:r>
    </w:p>
    <w:p w14:paraId="22DB7AE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7F969AC1">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电流表的内阻应远大于电路的负载电阻。</w:t>
      </w:r>
    </w:p>
    <w:p w14:paraId="29E49F84">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63CAEBD8">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各种绝缘材料的绝缘电阻强度的各种指标是指抗张、抗压、抗弯、抗剪、抗撕、抗冲击等。</w:t>
      </w:r>
    </w:p>
    <w:p w14:paraId="503E3352">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51BABC9D">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劳动安全卫生管理制度对未成年工给予了特殊的劳动保护，这其中的未成年工是指年满16周岁未满18周岁的人。</w:t>
      </w:r>
    </w:p>
    <w:p w14:paraId="16C316A4">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7EDE8E2D">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当锉刀拉回时，应稍微抬起，以免磨钝锉齿或划伤工件表面。</w:t>
      </w:r>
    </w:p>
    <w:p w14:paraId="1A39FCD0">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0690346E">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变压器的铜耗是通过空载试验测得的，而变压器的铁耗是通过短路试验测得的。</w:t>
      </w:r>
    </w:p>
    <w:p w14:paraId="20822636">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0B3F8C24">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变压器铁心性能试验的主要内容是测试空载电流和空载损耗。</w:t>
      </w:r>
    </w:p>
    <w:p w14:paraId="2EB56C6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0AEAC458">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变压器在运行中，其总损耗是随负载的变化而变化的，其中铁耗是不变的，而铜耗是变化的。</w:t>
      </w:r>
    </w:p>
    <w:p w14:paraId="2A814CC3">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02ACF34E">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随着负载的变化，变压器的效率也在发生变化。当可变损耗大于不变损耗时，其效率为最高。</w:t>
      </w:r>
    </w:p>
    <w:p w14:paraId="4C36FF4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2B905183">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线圈绝缘处理工艺主要包括预烘、浸漆和干燥3个过程。</w:t>
      </w:r>
    </w:p>
    <w:p w14:paraId="3D256AC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382B32FA">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触头的电磨损是由触头间电弧的高温使触头金属汽化和蒸发造成的，机械磨损是由于触头接触面撞击造成的。</w:t>
      </w:r>
    </w:p>
    <w:p w14:paraId="4B6D548B">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6453DCFA">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自耦变压器具有多个抽头，以获得不同变比。笼型电动机采用自耦变压器降压起动时，其起动电流和起动转矩均按变比的一倍降低。</w:t>
      </w:r>
    </w:p>
    <w:p w14:paraId="2EAB5FA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3EB1B28F">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采用自耦变压器减压起动的方法适用于功率较大的、工作时△联结的笼型电动机。</w:t>
      </w:r>
    </w:p>
    <w:p w14:paraId="57F49A0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6B5461CC">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通常增量型光电编码器的外部接线包括2根电源线和若干根信号线。</w:t>
      </w:r>
    </w:p>
    <w:p w14:paraId="729AA043">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29DD0733">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“短时”运行方式的电动机不能长期运行。</w:t>
      </w:r>
    </w:p>
    <w:p w14:paraId="264BD1D7">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6F2DB571">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电动机受潮，绝缘电阻下降，可进行烘干处理。</w:t>
      </w:r>
    </w:p>
    <w:p w14:paraId="20ECEAE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530CD576">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安装滚动轴承的方法一般有敲打法、钩抓法等。</w:t>
      </w:r>
    </w:p>
    <w:p w14:paraId="766A7C93">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579153A2">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直流电动机转速不正常的故障原因主要有励磁回路电阻过大等。</w:t>
      </w:r>
    </w:p>
    <w:p w14:paraId="170A45DE">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41BD01C7">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三相定子绕组的磁极数越多，则其对应的极距就越大。</w:t>
      </w:r>
    </w:p>
    <w:p w14:paraId="1F50C89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71818833">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双层绕组可以选择最有利的节距，以使异步电动机的旋转磁场波形接近于正弦波。</w:t>
      </w:r>
    </w:p>
    <w:p w14:paraId="5022FBD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709DE181">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对于三相绕线转子异步电动机，无论其定子绕组还是转子绕组均由三相结构完全相同、空间互差120°电角度的绕组构成。</w:t>
      </w:r>
    </w:p>
    <w:p w14:paraId="598A5227">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4029F9F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三相变极多速异步电动机不管采用什么办法，当f=50Hz时，电动机最高转速只能低于3000r/min。</w:t>
      </w:r>
    </w:p>
    <w:p w14:paraId="32C18E0A">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47E0AB7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深槽式与双笼型三相异步电动机，起动时由于趋肤效应而增大了转子电阻，因此具有较高的起动转矩。</w:t>
      </w:r>
    </w:p>
    <w:p w14:paraId="2420F27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6EA13166">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三相异步电动机定子绕组的磁极数越多，则其对应的转矩就越大。</w:t>
      </w:r>
    </w:p>
    <w:p w14:paraId="20FCF677">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09F4AAF6">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电动机在工作过程中，其温升越低越好。</w:t>
      </w:r>
    </w:p>
    <w:p w14:paraId="24F08350">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1F0C4E22">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气隙磁场为旋转磁场的三相异步电动机能自行起动。</w:t>
      </w:r>
    </w:p>
    <w:p w14:paraId="7FBD13B2">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456D714D">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变阻调速适合于绕线转子异步电动机。</w:t>
      </w:r>
    </w:p>
    <w:p w14:paraId="55BF77E7">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1718257B">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直流发电机的电枢绕组中产生的是直流电动势。</w:t>
      </w:r>
    </w:p>
    <w:p w14:paraId="50D794C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1C23F6EB">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要改变他励直流电动机的旋转方向，必须同时改变电动机电枢电压的极性和励磁的极性。</w:t>
      </w:r>
    </w:p>
    <w:p w14:paraId="7B270E9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5B56205C">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一台并励直流电动机，若改变电源极性，则电动机转向也一定改变。</w:t>
      </w:r>
    </w:p>
    <w:p w14:paraId="37EEF2C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1E3069DC">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直流电动机的人为特性比固有特性软。</w:t>
      </w:r>
    </w:p>
    <w:p w14:paraId="66F48E7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160EFC5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提升位能负载时的工作点在第一象限内，而下放位能负载时的工作点在第四象限内。</w:t>
      </w:r>
    </w:p>
    <w:p w14:paraId="73A0056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264E9AD1">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三相异步电动机在满载运行时，若电源电压突然降低到允许范围以下时，三相异步电动机转速下降，三相电流同时减小。</w:t>
      </w:r>
    </w:p>
    <w:p w14:paraId="0EB1F20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065F48A6">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三相异步电动机在运行中若一相断路，则电动机停止运行。</w:t>
      </w:r>
    </w:p>
    <w:p w14:paraId="52BD36F3">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57C561F8">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长期闲置的异步电动机，若要使用时可以直接起动。</w:t>
      </w:r>
    </w:p>
    <w:p w14:paraId="7DA5485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7EFA3CA1">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三相异步电动机采用熔丝保护时，当三相异步电动机的电流达到熔丝的额定电流时，熔丝立即熔断。</w:t>
      </w:r>
    </w:p>
    <w:p w14:paraId="1C77CD0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7A57F556">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三相转子异步电动机用频敏变阻器起动，起动过程是其等效电阻的变化是从大变小，其电流变化是从小变大。</w:t>
      </w:r>
    </w:p>
    <w:p w14:paraId="26FAA59B">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72C32AF1">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绕线转子异步电动机用频敏变阻器起动，若起动时转矩过大，会有机械冲击。</w:t>
      </w:r>
    </w:p>
    <w:p w14:paraId="2677286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23CD8F0B">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通常增量型光电编码器的Z相输出信号代表编码器的某一个原点，用于定位。</w:t>
      </w:r>
    </w:p>
    <w:p w14:paraId="098B90B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66D2DCC3">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双速三相异步电动机调速时，将定子绕组由原来的△联结改成YY联结，可使电动机的极对数减少1/2，使转速增加一倍。</w:t>
      </w:r>
    </w:p>
    <w:p w14:paraId="386DBD7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58F8AD74">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在同一供电系统中，三相负载接成Y联结和接成△联结所吸收的功率是相等的。</w:t>
      </w:r>
    </w:p>
    <w:p w14:paraId="74BF033A">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5B915D87">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晶闸管调速电路常见故障中，电动机M的转速调不下来，可能是给定信号的电压不足。</w:t>
      </w:r>
    </w:p>
    <w:p w14:paraId="2393FB23">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2616763A">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当加到二极管上的反向电压增大到一定数值时，反向电流会突然增大，该反向电压值被称为反向击穿电压，此现象被叫做反向击穿现象。</w:t>
      </w:r>
    </w:p>
    <w:p w14:paraId="15862F86">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3B102ABE">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只要在三相交流异步电动机的每相定子绕组中都通入交流电流，便可产生定子旋转磁场。</w:t>
      </w:r>
    </w:p>
    <w:p w14:paraId="6110F01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3E2CE9CE">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为使品闸管能够可靠地触发，要求触发脉冲具有一定的幅度和宽度，尤其是带感性负载时，脉冲具有一定宽度更为重要。</w:t>
      </w:r>
    </w:p>
    <w:p w14:paraId="7F180AA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060047DD">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为了提高三相异步电动机的起动转矩，可使电源电压高于额定电压，从而获得较好的起动性能。</w:t>
      </w:r>
    </w:p>
    <w:p w14:paraId="6CE89FB3">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5F5D9336">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单向半波可控整流电路，无论输入电压极性如何改变，其输出电压极性不会改变。</w:t>
      </w:r>
    </w:p>
    <w:p w14:paraId="7FB3F737">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5EC56634">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用两只接触器控制异步电动机正反转的电路，只需要互锁，不需要自锁。</w:t>
      </w:r>
    </w:p>
    <w:p w14:paraId="2D04AF0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2D515B66">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正常运行时定子绕组△联结的三相异步电动机才能采用X-△起动方法。</w:t>
      </w:r>
    </w:p>
    <w:p w14:paraId="75DB202E">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55D7360E">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自耦变压器的一、二次绕组间有电的联系，所以低压侧的设备也要有高压的绝缘等级。</w:t>
      </w:r>
    </w:p>
    <w:p w14:paraId="4E338A62">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55D379DB">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异步电动机的电磁转矩与转速方向相同时称为制动。</w:t>
      </w:r>
    </w:p>
    <w:p w14:paraId="4B43452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5C07BDD3">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三相异步电动机定子串电阻起动的目的是减小起动电流。</w:t>
      </w:r>
    </w:p>
    <w:p w14:paraId="05B96FE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3852B94B">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整台电动机一次更换半数以上的电刷之后，最好先空载或轻载运行6h，使电刷有较好的配合后再满载运行。</w:t>
      </w:r>
    </w:p>
    <w:p w14:paraId="077CF5D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55EA9190">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如果负载加上时电压下降至空载电压的50%左右，且电动机有吱吱声，换向器与电刷间火花较大，则可能是有部分电枢绕组短路。</w:t>
      </w:r>
    </w:p>
    <w:p w14:paraId="455AB860">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40135E4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接触器一般只能对电压的变化作出反应，继电器可以在相应的各种电量或非电量作用下动作。</w:t>
      </w:r>
    </w:p>
    <w:p w14:paraId="6196D3D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201E524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三相绕线转子异步电动机转子串入频敏变阻器，实质上是串入一个随转子电流频率而变化的可变阻抗，与转子回路串入可变电阻器起动的效果是相似的。</w:t>
      </w:r>
    </w:p>
    <w:p w14:paraId="162FFCB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075530F1">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绕线转子异步电动机可以改变磁极对数进行调速。</w:t>
      </w:r>
    </w:p>
    <w:p w14:paraId="28944B8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4B1C471C">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主令电器主要用来接通和分断主电路。</w:t>
      </w:r>
    </w:p>
    <w:p w14:paraId="0227D7B4">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40F83778">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一台使用不久且绝缘未老化的直流电机，若一两个线圈有短路故降，则检修时可以切断短路线圈，在与其连接的两个换向片上接以跨接线，使其继续使用。</w:t>
      </w:r>
    </w:p>
    <w:p w14:paraId="7CD0576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0AA37E62">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交流耐压试验是鉴定电气设备绝缘强度的最有效和最直接方法。</w:t>
      </w:r>
    </w:p>
    <w:p w14:paraId="1BD0C93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3E45C0FC">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三相电压互感器的接线组别，是指一次绕组线电压间的相位关系。</w:t>
      </w:r>
    </w:p>
    <w:p w14:paraId="6451B696">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5C9EDF79">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仪表在使用一段时间或检修后，按规定都要对它进行校验，检查准确度等级和其他技术指标是否符合要求。</w:t>
      </w:r>
    </w:p>
    <w:p w14:paraId="08F9C8DE">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470D0098">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测量1000V以上的电力电缆的绝缘电阻时，应选用1000V的绝缘电阻表进行测量。</w:t>
      </w:r>
    </w:p>
    <w:p w14:paraId="63DBBF9E">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1DEB8EF3">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若变压器一次电压低于额定电压，则不论负载如何，它的输出功率一定低于额定功率，温升也必然小于额定温升。</w:t>
      </w:r>
    </w:p>
    <w:p w14:paraId="1EAC1ECE">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7D6D3A8E">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对于异步电动机，其定子绕组匝数增多会造成嵌线困难、浪费偏线，并会增大电动机漏抗，从而降低最大转矩和起动转矩。</w:t>
      </w:r>
    </w:p>
    <w:p w14:paraId="1D7E8C9E">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7B09625B">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三相异步电动机的定子绕组，无论是单层还是双层，其节距都须是整数。</w:t>
      </w:r>
    </w:p>
    <w:p w14:paraId="600343D4">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0C73A8D2">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具有电抗器的电焊变压器，若减少电抗器的铁心气隙，则漏抗增加，焊接电流增大。</w:t>
      </w:r>
    </w:p>
    <w:p w14:paraId="062F57C0">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2DAB446E">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outlineLvl w:val="1"/>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M7130型平面磨床主电路中有三台电动机。</w:t>
      </w:r>
    </w:p>
    <w:p w14:paraId="693AA39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258FAE6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M7130型平面磨床中，砂轮电动机和液压电动机都采用了接触器互锁控制电路。</w:t>
      </w:r>
    </w:p>
    <w:p w14:paraId="65EAAD8A">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7930B146">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M7130型平面磨床控制电路中砂轮电动机M1和液压泵电动机M3都采用了接触器自锁正转控制电路。</w:t>
      </w:r>
    </w:p>
    <w:p w14:paraId="344971F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28E7080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M7130型平面磨床控制电路中电磁吸盘导线截面积为BVR7/0.42×3。</w:t>
      </w:r>
    </w:p>
    <w:p w14:paraId="01F74202">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 C</w:t>
      </w:r>
      <w:r>
        <w:rPr>
          <w:rFonts w:hint="eastAsia" w:ascii="方正楷体_GB2312" w:hAnsi="方正楷体_GB2312" w:eastAsia="方正楷体_GB2312" w:cs="方正楷体_GB2312"/>
          <w:sz w:val="24"/>
          <w:szCs w:val="24"/>
        </w:rPr>
        <w:t>6150型卧式车床主轴电动机通过热继电器和手柄控制正、反转。</w:t>
      </w:r>
    </w:p>
    <w:p w14:paraId="01527E04">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 C</w:t>
      </w:r>
      <w:r>
        <w:rPr>
          <w:rFonts w:hint="eastAsia" w:ascii="方正楷体_GB2312" w:hAnsi="方正楷体_GB2312" w:eastAsia="方正楷体_GB2312" w:cs="方正楷体_GB2312"/>
          <w:sz w:val="24"/>
          <w:szCs w:val="24"/>
        </w:rPr>
        <w:t>6150型卧式车床控制电路中照明灯的额定电压是交流36V。</w:t>
      </w:r>
    </w:p>
    <w:p w14:paraId="0EFF17FD">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正确答案：B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6150型卧式车床的照明灯为了保证人身安全，配线时要保护接地。</w:t>
      </w:r>
    </w:p>
    <w:p w14:paraId="360D28DA">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正确答案：A    </w:t>
      </w:r>
      <w:r>
        <w:rPr>
          <w:rFonts w:hint="eastAsia" w:ascii="方正楷体_GB2312" w:hAnsi="方正楷体_GB2312" w:eastAsia="方正楷体_GB2312" w:cs="方正楷体_GB2312"/>
          <w:sz w:val="24"/>
          <w:szCs w:val="24"/>
          <w:lang w:eastAsia="zh-CN"/>
        </w:rPr>
        <w:t>C</w:t>
      </w:r>
      <w:r>
        <w:rPr>
          <w:rFonts w:hint="eastAsia" w:ascii="方正楷体_GB2312" w:hAnsi="方正楷体_GB2312" w:eastAsia="方正楷体_GB2312" w:cs="方正楷体_GB2312"/>
          <w:sz w:val="24"/>
          <w:szCs w:val="24"/>
        </w:rPr>
        <w:t>6150型卧式车床主轴电动机只能正转不能反转时，应首先检修电源进线开关。</w:t>
      </w:r>
    </w:p>
    <w:p w14:paraId="7E9D8DF2">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5404FDEF">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23040型摇臂钻床主电路中电动机M4的功率为0.125kW，由开关SA2控制。</w:t>
      </w:r>
    </w:p>
    <w:p w14:paraId="618480A3">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27B92799">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73040型摇臂钻床电气控制的摇臂升降电动机采用Ø1.5mm2的导线。</w:t>
      </w:r>
    </w:p>
    <w:p w14:paraId="1D569CD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6B85ADCE">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23040型摇臂钻床的主轴电动机可以任意改变转动方向，由接触器KM1、KM2控制。</w:t>
      </w:r>
    </w:p>
    <w:p w14:paraId="6F6AC66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2585622E">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73040型摇臂钻床中行程开关SQ2的安装位置不当或发生移动，时会造成摇臂夹不紧。</w:t>
      </w:r>
    </w:p>
    <w:p w14:paraId="24470F37">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0D7E62D7">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当负载电流大于额定电流时，由于电流截止反馈环节的调节作用、晶闸管的导通角减小，输出的直流电压减小，电流随之减小。</w:t>
      </w:r>
    </w:p>
    <w:p w14:paraId="4F4668EA">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5F3CC4A2">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腐蚀性较大的场所内明敷或暗敷，一般采用硬塑料管。</w:t>
      </w:r>
    </w:p>
    <w:p w14:paraId="63F297F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05D4E836">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7812与7912均是三端稳压器，其稳压值均为12V，因此可以相互代替。</w:t>
      </w:r>
    </w:p>
    <w:p w14:paraId="1C2D8D83">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27192027">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压力继电器和压力变送器均是将压力信号转换为电信号的传感器，其功能一样。</w:t>
      </w:r>
    </w:p>
    <w:p w14:paraId="39111F5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2FE7D10B">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w:t>
      </w:r>
    </w:p>
    <w:p w14:paraId="260E4F32">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为了防止发生人身触电事故和设备短路或接地故障，带电体之间、带电体与地面之间、带电体与其他设施之间、工作人员与带电体之间必须保持的最小空气间隙，称为安全距离。</w:t>
      </w:r>
    </w:p>
    <w:p w14:paraId="60C4F7A2">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6A3CE817">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在变频器实际接线时，控制电缆应靠近变频器，以防止电磁干扰。</w:t>
      </w:r>
    </w:p>
    <w:p w14:paraId="6246F04B">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5AD59F18">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测量电路中的电阻值时，应将被测电路的电源切断，如果电路中有电容器，应先放电后才能测量。切勿在电路带电的情况下测量电阻。</w:t>
      </w:r>
    </w:p>
    <w:p w14:paraId="0305BCA7">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66461A3A">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在单相半波可控整流电路中，调节触发信号加到控制极上的时刻，改变控制角的大小，就实现了控制输出直流电压的大小。</w:t>
      </w:r>
    </w:p>
    <w:p w14:paraId="74D6857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7374FC0E">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示波器的输入开关测量直流信号时必须使用DC挡，测量交流信号时必须使用AC挡。</w:t>
      </w:r>
    </w:p>
    <w:p w14:paraId="69A3B6C3">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05DE486E">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当晶闸管导通后，可以靠管子本身的放大作用来维持其导通状态。</w:t>
      </w:r>
    </w:p>
    <w:p w14:paraId="01867A7E">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4263AAA1">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当单结晶体管的发射电压高于峰点电压时，就导通。</w:t>
      </w:r>
    </w:p>
    <w:p w14:paraId="65C4A0F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70E3226B">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晶闸管的导通角θ越大，则触发延迟角α越大。</w:t>
      </w:r>
    </w:p>
    <w:p w14:paraId="78DA9FB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111193D2">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加在晶闸管门极上的触发电压，一般都超过10V。</w:t>
      </w:r>
    </w:p>
    <w:p w14:paraId="700BA3CB">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43FC55A0">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将T触发器一级一级地串联起来，就可以组成一个异步二进制加法计数器。</w:t>
      </w:r>
    </w:p>
    <w:p w14:paraId="7395462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7DE5E61E">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触发导通的晶闸管，当阳极电流减小到低于维持电流时，晶闸管仍然维持状态。</w:t>
      </w:r>
    </w:p>
    <w:p w14:paraId="2389ED6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2E942A06">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TIL与非门输入端全部接高电平时，输出为低电平。</w:t>
      </w:r>
    </w:p>
    <w:p w14:paraId="3EA7891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457BF72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或非门RS触发器的触发信号为正脉冲。</w:t>
      </w:r>
    </w:p>
    <w:p w14:paraId="25A182D4">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1B0F02AA">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直流惠斯顿电桥的比例臂选择原则是，使比例臂级数乘以比例级数大致等于被测电阻的数。</w:t>
      </w:r>
    </w:p>
    <w:p w14:paraId="72134322">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50B9363F">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改变直流惠斯顿电桥的供电电压值，对电阻的测量精度也会产生影响。</w:t>
      </w:r>
    </w:p>
    <w:p w14:paraId="46741F5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5EFA72CE">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用晶体管图示仪观察共射极放大电路的输入特性时，X轴作用开关应置于基极电压，Y轴作用开关置于基极电流或基极源电压。</w:t>
      </w:r>
    </w:p>
    <w:p w14:paraId="133FF692">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208F074D">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电磁系仪表既可以测量直流电量，也可以测量交流电量，且测交流时的刻度与被测直流时的刻度相同。</w:t>
      </w:r>
    </w:p>
    <w:p w14:paraId="5D0DAC3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1996E0C9">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使用示波器时，应将被测信号接入Y轴输入端钮。</w:t>
      </w:r>
    </w:p>
    <w:p w14:paraId="040BFA8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425D9A8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同步示波器一般采用了连续扫描方式。</w:t>
      </w:r>
    </w:p>
    <w:p w14:paraId="43C1AACB">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34AD9F9F">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克服零点漂移最有效的措施是采用交流负反馈电路。</w:t>
      </w:r>
    </w:p>
    <w:p w14:paraId="6F67D034">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5CAF20E3">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硅稳压二极管稳压电路只适应于负载较小的场合，且输出电压不能任意调节。</w:t>
      </w:r>
    </w:p>
    <w:p w14:paraId="4B4969E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384D90C2">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普通示波器所要显示的是被测电压信号随频率而变化的波形。</w:t>
      </w:r>
    </w:p>
    <w:p w14:paraId="65B26416">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102AB66A">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直流开尔文电桥可以精确测量电阻值。</w:t>
      </w:r>
    </w:p>
    <w:p w14:paraId="678D2227">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1C7D68B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晶闸管触发电路的形式很多，但都由脉冲形成同步移相和脉冲移相几部分组成。</w:t>
      </w:r>
    </w:p>
    <w:p w14:paraId="18F4D6D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31B18934">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用直流惠斯顿电桥测量电阻时，如果按下电源和检流计按钮后指针若正偏，这时应减小比较臂的电阻值，反之应增加比较臂的电阻值。</w:t>
      </w:r>
    </w:p>
    <w:p w14:paraId="6C10BFB4">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6B2404A0">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二极管正向动态电阻的大小，随流过二极管电流的变化而改变，是不固定的。</w:t>
      </w:r>
    </w:p>
    <w:p w14:paraId="004E634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35776C56">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用示波器测量电信号时，被测信号必须通过专用探头引入示波器，不用探头就不能测量。</w:t>
      </w:r>
    </w:p>
    <w:p w14:paraId="3D4D1FA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607BB090">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电桥的灵敏度只取决于所用检流计的灵敏度，而与其他因素无关。</w:t>
      </w:r>
    </w:p>
    <w:p w14:paraId="16D7594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5B112DAB">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当PLC的“BATIERY”（电池）指示灯闪烁时，表示该PLC的内部电池的电量低，必须在一周内予以更换，否则用户程序会丢失。</w:t>
      </w:r>
    </w:p>
    <w:p w14:paraId="1A5889B3">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109360D2">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负荷开关主刀片和辅助刀片的动作次序是合闸时主刀片先接触，分闸时主刀片先分离，辅助刀片后分离。</w:t>
      </w:r>
    </w:p>
    <w:p w14:paraId="1BDDB7E7">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2319D693">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电压互感器的高压侧熔断器连续熔断时，必须查明原因，不得擅自加大熔断器容量。</w:t>
      </w:r>
    </w:p>
    <w:p w14:paraId="58BAAEA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12288E20">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使用双踪示波器可以直接观测两路信号间的时间差值，一般情况下，被测信号频率较低时采用交替方式。</w:t>
      </w:r>
    </w:p>
    <w:p w14:paraId="073505C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7DA67A52">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使用1000V量程测量交直流高电压时，应将一表笔固定接在电路的地电位上，另一表笔去接触被测高压电源，测试过程中应严格按照高压操作规程执行。</w:t>
      </w:r>
    </w:p>
    <w:p w14:paraId="4022906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5DCBF31A">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晶体管图示仪使用时，被测晶体管接入测试台之前，应先将峰值电压调节旋钮逆时针旋至零位，将基极阶梯信号选择开关调到最大。</w:t>
      </w:r>
    </w:p>
    <w:p w14:paraId="3705C83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35BD9A60">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PLC的输入模块不能使用光耦合电路来隔离内部电路和外部电路。</w:t>
      </w:r>
    </w:p>
    <w:p w14:paraId="0CD8673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61F4A46F">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PLC的指令系统通常有梯形图、语句表、功能图三种形式。</w:t>
      </w:r>
    </w:p>
    <w:p w14:paraId="24818CE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0EB0AA9D">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交流耐压试验调压设备的容量应等于或稍大于试验变压器的容量。</w:t>
      </w:r>
    </w:p>
    <w:p w14:paraId="26D44B7A">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5385888D">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电流互感器在使用时允许二次侧开路。</w:t>
      </w:r>
    </w:p>
    <w:p w14:paraId="750488D2">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15A46C8C">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END指令的功能是：执行到END指令后，END指令后面的程序则不执行。</w:t>
      </w:r>
    </w:p>
    <w:p w14:paraId="1F3AB96A">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4144C582">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为了防止断路器电磁机构的合、分铁心生锈和卡阻，在检修维护时，铁心上应涂抹润滑油。</w:t>
      </w:r>
    </w:p>
    <w:p w14:paraId="46AD483E">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740C9C39">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生产管理是对企业产品生产的计划、组织和控制。</w:t>
      </w:r>
    </w:p>
    <w:p w14:paraId="7F7BF7D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40F69E7E">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PLC基本都有模拟量处理功能，通过模拟量I/O模块可对温度、压力、速度、流量等连续变化的模拟量进行控制，编程非常方便。</w:t>
      </w:r>
    </w:p>
    <w:p w14:paraId="58EFF84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7C1759A4">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重复使用RDS指令，可多次使用同一运算结果，当使用完毕时，一定要用POPS指令。</w:t>
      </w:r>
    </w:p>
    <w:p w14:paraId="59A7F5DA">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0AD09763">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PLC内存容量是存放用户程序的量。在PLC中程序指令是按条存放的‘一条指令往往不止一“步”）一“条”占用一个地址单元，一个地址单元一般占用两个字节。</w:t>
      </w:r>
    </w:p>
    <w:p w14:paraId="6EF25D9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4D0408B0">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寄存器的配置是衡量PLC硬件功能的一个指标。</w:t>
      </w:r>
    </w:p>
    <w:p w14:paraId="251A2C6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正确答案：A    </w:t>
      </w:r>
    </w:p>
    <w:p w14:paraId="4248A8A9">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EPROM称作电可擦除只读存储器，除可用紫外线擦除外，还可用电擦除，它不需要专用写人器，只需用编程器就能方便地对所存储的内容实现“在线修改”，所写入的数据内容能在断电情况下保持不变，目前PLC中正在广泛使用。</w:t>
      </w:r>
    </w:p>
    <w:p w14:paraId="624772A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204DF1D2">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PLC的输出形式是继电器接点输出。</w:t>
      </w:r>
    </w:p>
    <w:p w14:paraId="7258E4D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61D2D32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PLC采用循环扫描工作方式。</w:t>
      </w:r>
    </w:p>
    <w:p w14:paraId="1EAF40A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54E5617B">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X120表示输入继电器（寄存器）WX12的第0位。</w:t>
      </w:r>
    </w:p>
    <w:p w14:paraId="133F593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3A627A1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定时器与计数器的编号是统一编排的，出厂时按照计数器在前、定时器在后进行编号。</w:t>
      </w:r>
    </w:p>
    <w:p w14:paraId="401EF65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6A9A7759">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索引寄存器还可以以索引指针的形式与寄存器或常数一起使用，可起到寄存器地址或常数的修正值作用。</w:t>
      </w:r>
    </w:p>
    <w:p w14:paraId="39F643D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A  </w:t>
      </w:r>
    </w:p>
    <w:p w14:paraId="71B7C950">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所有寄存器（word）和T、C的编号均为十六进制数，只有X Y、R触头（bit）编号的最后一位是十进制数。</w:t>
      </w:r>
    </w:p>
    <w:p w14:paraId="51D3FA52">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09C3D8B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基本顺序指令是以字（word）为单位的逻辑操作，是构成继电器控制电路的基础。</w:t>
      </w:r>
    </w:p>
    <w:p w14:paraId="7899BD0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36C75103">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OR是串联常开触点指令，把原来保存在结果寄存器中的逻辑模作结果与指定的继电器内容相“与”，并把这一逻辑操作结果存入结果寄存器。</w:t>
      </w:r>
    </w:p>
    <w:p w14:paraId="15A7F127">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sz w:val="24"/>
          <w:szCs w:val="24"/>
        </w:rPr>
        <w:t xml:space="preserve"> 正确答案：B    </w:t>
      </w:r>
    </w:p>
    <w:p w14:paraId="48693F3F">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AN是并联常开接点指令，把结果寄存器的内容与指定继电器的内容进行逻辑“或”，操作结果存入结果寄存器。</w:t>
      </w:r>
    </w:p>
    <w:p w14:paraId="407CA7CE">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方正楷体_GB2312" w:hAnsi="方正楷体_GB2312" w:eastAsia="方正楷体_GB2312" w:cs="方正楷体_GB2312"/>
          <w:sz w:val="24"/>
          <w:szCs w:val="24"/>
          <w:lang w:eastAsia="zh-CN"/>
        </w:rPr>
      </w:pPr>
      <w:r>
        <w:rPr>
          <w:rFonts w:hint="eastAsia" w:ascii="方正楷体_GB2312" w:hAnsi="方正楷体_GB2312" w:eastAsia="方正楷体_GB2312" w:cs="方正楷体_GB2312"/>
          <w:sz w:val="24"/>
          <w:szCs w:val="24"/>
        </w:rPr>
        <w:t xml:space="preserve"> 正确答案：</w:t>
      </w:r>
      <w:r>
        <w:rPr>
          <w:rFonts w:hint="eastAsia" w:ascii="方正楷体_GB2312" w:hAnsi="方正楷体_GB2312" w:eastAsia="方正楷体_GB2312" w:cs="方正楷体_GB2312"/>
          <w:sz w:val="24"/>
          <w:szCs w:val="24"/>
          <w:lang w:eastAsia="zh-CN"/>
        </w:rPr>
        <w:t>B  </w:t>
      </w:r>
    </w:p>
    <w:p w14:paraId="5E1DCF8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rPr>
        <w:t>指令ORS功能，可实现多个指令块的“与”运算。</w:t>
      </w:r>
    </w:p>
    <w:p w14:paraId="63201D1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Chars="0"/>
        <w:textAlignment w:val="baseline"/>
        <w:rPr>
          <w:rFonts w:hint="eastAsia" w:ascii="方正楷体_GB2312" w:hAnsi="方正楷体_GB2312" w:eastAsia="方正楷体_GB2312" w:cs="方正楷体_GB2312"/>
          <w:sz w:val="24"/>
          <w:szCs w:val="24"/>
          <w:lang w:val="en-US" w:eastAsia="zh-CN"/>
        </w:rPr>
      </w:pPr>
      <w:r>
        <w:rPr>
          <w:rFonts w:hint="eastAsia" w:ascii="方正楷体_GB2312" w:hAnsi="方正楷体_GB2312" w:eastAsia="方正楷体_GB2312" w:cs="方正楷体_GB2312"/>
          <w:sz w:val="24"/>
          <w:szCs w:val="24"/>
        </w:rPr>
        <w:t xml:space="preserve"> 正确答案：B </w:t>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0D49C76-AA0F-43A6-AD83-F5552A4ABD04}"/>
  </w:font>
  <w:font w:name="黑体">
    <w:panose1 w:val="02010609060101010101"/>
    <w:charset w:val="86"/>
    <w:family w:val="auto"/>
    <w:pitch w:val="default"/>
    <w:sig w:usb0="800002BF" w:usb1="38CF7CFA" w:usb2="00000016" w:usb3="00000000" w:csb0="00040001" w:csb1="00000000"/>
    <w:embedRegular r:id="rId2" w:fontKey="{D40678A7-6C3A-4168-9A56-00D9AAD50D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6CC9913-21AF-49E3-ACA3-31A3FCA7D5A5}"/>
  </w:font>
  <w:font w:name="微软雅黑">
    <w:panose1 w:val="020B0503020204020204"/>
    <w:charset w:val="86"/>
    <w:family w:val="swiss"/>
    <w:pitch w:val="default"/>
    <w:sig w:usb0="80000287" w:usb1="2ACF3C50" w:usb2="00000016" w:usb3="00000000" w:csb0="0004001F" w:csb1="00000000"/>
    <w:embedRegular r:id="rId4" w:fontKey="{EBA256E7-4460-47A7-9D7A-66E50BB2084D}"/>
  </w:font>
  <w:font w:name="仿宋">
    <w:panose1 w:val="02010609060101010101"/>
    <w:charset w:val="86"/>
    <w:family w:val="modern"/>
    <w:pitch w:val="default"/>
    <w:sig w:usb0="800002BF" w:usb1="38CF7CFA" w:usb2="00000016" w:usb3="00000000" w:csb0="00040001" w:csb1="00000000"/>
    <w:embedRegular r:id="rId5" w:fontKey="{540952B0-57A9-4F57-8F64-FB9D9DCFF972}"/>
  </w:font>
  <w:font w:name="仿宋_GB2312">
    <w:altName w:val="仿宋"/>
    <w:panose1 w:val="02010609030101010101"/>
    <w:charset w:val="86"/>
    <w:family w:val="modern"/>
    <w:pitch w:val="default"/>
    <w:sig w:usb0="00000000" w:usb1="00000000" w:usb2="00000000" w:usb3="00000000" w:csb0="00040000" w:csb1="00000000"/>
    <w:embedRegular r:id="rId6" w:fontKey="{E0FBE161-36DE-412E-A439-FA0B91E2E0A6}"/>
  </w:font>
  <w:font w:name="楷体_GB2312">
    <w:altName w:val="楷体"/>
    <w:panose1 w:val="02010609030101010101"/>
    <w:charset w:val="86"/>
    <w:family w:val="auto"/>
    <w:pitch w:val="default"/>
    <w:sig w:usb0="00000000" w:usb1="00000000" w:usb2="00000000" w:usb3="00000000" w:csb0="00040000" w:csb1="00000000"/>
    <w:embedRegular r:id="rId7" w:fontKey="{6476B27E-F5E8-4FA3-A21C-8AC87472D1E7}"/>
  </w:font>
  <w:font w:name="方正楷体_GB2312">
    <w:panose1 w:val="02000000000000000000"/>
    <w:charset w:val="86"/>
    <w:family w:val="auto"/>
    <w:pitch w:val="default"/>
    <w:sig w:usb0="A00002BF" w:usb1="184F6CFA" w:usb2="00000012" w:usb3="00000000" w:csb0="00040001" w:csb1="00000000"/>
    <w:embedRegular r:id="rId8" w:fontKey="{D136025F-AB12-4C9F-9C11-7625D7823933}"/>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5E1FD">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34786">
    <w:pPr>
      <w:pStyle w:val="4"/>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2FF4B">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8D2FF4B">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E8D02">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DE7DC"/>
    <w:multiLevelType w:val="singleLevel"/>
    <w:tmpl w:val="9EFDE7DC"/>
    <w:lvl w:ilvl="0" w:tentative="0">
      <w:start w:val="2"/>
      <w:numFmt w:val="chineseCounting"/>
      <w:suff w:val="nothing"/>
      <w:lvlText w:val="%1、"/>
      <w:lvlJc w:val="left"/>
      <w:rPr>
        <w:rFonts w:hint="eastAsia"/>
      </w:rPr>
    </w:lvl>
  </w:abstractNum>
  <w:abstractNum w:abstractNumId="1">
    <w:nsid w:val="A78B88C0"/>
    <w:multiLevelType w:val="singleLevel"/>
    <w:tmpl w:val="A78B88C0"/>
    <w:lvl w:ilvl="0" w:tentative="0">
      <w:start w:val="4"/>
      <w:numFmt w:val="chineseCounting"/>
      <w:suff w:val="nothing"/>
      <w:lvlText w:val="（%1）"/>
      <w:lvlJc w:val="left"/>
      <w:rPr>
        <w:rFonts w:hint="eastAsia"/>
      </w:rPr>
    </w:lvl>
  </w:abstractNum>
  <w:abstractNum w:abstractNumId="2">
    <w:nsid w:val="B57E39CF"/>
    <w:multiLevelType w:val="singleLevel"/>
    <w:tmpl w:val="B57E39CF"/>
    <w:lvl w:ilvl="0" w:tentative="0">
      <w:start w:val="1"/>
      <w:numFmt w:val="decimal"/>
      <w:suff w:val="space"/>
      <w:lvlText w:val="%1."/>
      <w:lvlJc w:val="left"/>
    </w:lvl>
  </w:abstractNum>
  <w:abstractNum w:abstractNumId="3">
    <w:nsid w:val="EBD595EC"/>
    <w:multiLevelType w:val="singleLevel"/>
    <w:tmpl w:val="EBD595EC"/>
    <w:lvl w:ilvl="0" w:tentative="0">
      <w:start w:val="1"/>
      <w:numFmt w:val="decimal"/>
      <w:suff w:val="space"/>
      <w:lvlText w:val="%1."/>
      <w:lvlJc w:val="left"/>
      <w:pPr>
        <w:ind w:left="425" w:hanging="425"/>
      </w:pPr>
      <w:rPr>
        <w:rFonts w:hint="default"/>
      </w:rPr>
    </w:lvl>
  </w:abstractNum>
  <w:abstractNum w:abstractNumId="4">
    <w:nsid w:val="567AAF66"/>
    <w:multiLevelType w:val="singleLevel"/>
    <w:tmpl w:val="567AAF66"/>
    <w:lvl w:ilvl="0" w:tentative="0">
      <w:start w:val="5"/>
      <w:numFmt w:val="chineseCounting"/>
      <w:suff w:val="nothing"/>
      <w:lvlText w:val="%1、"/>
      <w:lvlJc w:val="left"/>
    </w:lvl>
  </w:abstractNum>
  <w:abstractNum w:abstractNumId="5">
    <w:nsid w:val="567FCBF5"/>
    <w:multiLevelType w:val="singleLevel"/>
    <w:tmpl w:val="567FCBF5"/>
    <w:lvl w:ilvl="0" w:tentative="0">
      <w:start w:val="1"/>
      <w:numFmt w:val="decimal"/>
      <w:suff w:val="nothing"/>
      <w:lvlText w:val="（%1）"/>
      <w:lvlJc w:val="left"/>
    </w:lvl>
  </w:abstractNum>
  <w:abstractNum w:abstractNumId="6">
    <w:nsid w:val="567FCC51"/>
    <w:multiLevelType w:val="singleLevel"/>
    <w:tmpl w:val="567FCC51"/>
    <w:lvl w:ilvl="0" w:tentative="0">
      <w:start w:val="3"/>
      <w:numFmt w:val="decimal"/>
      <w:suff w:val="nothing"/>
      <w:lvlText w:val="（%1）"/>
      <w:lvlJc w:val="left"/>
    </w:lvl>
  </w:abstractNum>
  <w:abstractNum w:abstractNumId="7">
    <w:nsid w:val="5C06CF2B"/>
    <w:multiLevelType w:val="singleLevel"/>
    <w:tmpl w:val="5C06CF2B"/>
    <w:lvl w:ilvl="0" w:tentative="0">
      <w:start w:val="2"/>
      <w:numFmt w:val="chineseCounting"/>
      <w:suff w:val="nothing"/>
      <w:lvlText w:val="（%1）"/>
      <w:lvlJc w:val="left"/>
      <w:rPr>
        <w:rFonts w:hint="eastAsia"/>
      </w:rPr>
    </w:lvl>
  </w:abstractNum>
  <w:num w:numId="1">
    <w:abstractNumId w:val="1"/>
  </w:num>
  <w:num w:numId="2">
    <w:abstractNumId w:val="7"/>
  </w:num>
  <w:num w:numId="3">
    <w:abstractNumId w:val="4"/>
  </w:num>
  <w:num w:numId="4">
    <w:abstractNumId w:val="5"/>
  </w:num>
  <w:num w:numId="5">
    <w:abstractNumId w:val="6"/>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yZmVmYzcwZTM1OWIxOTkzNWJkNjE2ODJhNWY3MmMifQ=="/>
  </w:docVars>
  <w:rsids>
    <w:rsidRoot w:val="5B1B7E19"/>
    <w:rsid w:val="0015782A"/>
    <w:rsid w:val="001D1F60"/>
    <w:rsid w:val="00254206"/>
    <w:rsid w:val="002E2E41"/>
    <w:rsid w:val="00365007"/>
    <w:rsid w:val="003B34BA"/>
    <w:rsid w:val="003C2793"/>
    <w:rsid w:val="004B2373"/>
    <w:rsid w:val="00567FDD"/>
    <w:rsid w:val="00690573"/>
    <w:rsid w:val="00A27FBD"/>
    <w:rsid w:val="00A508D1"/>
    <w:rsid w:val="00B03EFB"/>
    <w:rsid w:val="00B8226D"/>
    <w:rsid w:val="00C515E8"/>
    <w:rsid w:val="00D51694"/>
    <w:rsid w:val="00EA1499"/>
    <w:rsid w:val="00EB4847"/>
    <w:rsid w:val="08F85810"/>
    <w:rsid w:val="0ADF0A36"/>
    <w:rsid w:val="100C3B4E"/>
    <w:rsid w:val="154D727F"/>
    <w:rsid w:val="198A5274"/>
    <w:rsid w:val="1DB72D4D"/>
    <w:rsid w:val="1ED72BF2"/>
    <w:rsid w:val="21903F72"/>
    <w:rsid w:val="221C7ADD"/>
    <w:rsid w:val="2447751E"/>
    <w:rsid w:val="25C805EC"/>
    <w:rsid w:val="28C60C1D"/>
    <w:rsid w:val="296F65F5"/>
    <w:rsid w:val="2A8F7781"/>
    <w:rsid w:val="2BC43604"/>
    <w:rsid w:val="2E0E39DE"/>
    <w:rsid w:val="2E6524C0"/>
    <w:rsid w:val="306B2D1C"/>
    <w:rsid w:val="31AE76A3"/>
    <w:rsid w:val="326A4D38"/>
    <w:rsid w:val="335A2AA0"/>
    <w:rsid w:val="349803AC"/>
    <w:rsid w:val="38791113"/>
    <w:rsid w:val="3A382B16"/>
    <w:rsid w:val="3A6C5593"/>
    <w:rsid w:val="3C8958C2"/>
    <w:rsid w:val="40646D0C"/>
    <w:rsid w:val="41595F9D"/>
    <w:rsid w:val="474D04FA"/>
    <w:rsid w:val="49C32CF5"/>
    <w:rsid w:val="4DFB52DF"/>
    <w:rsid w:val="4E5D0476"/>
    <w:rsid w:val="4F9D585B"/>
    <w:rsid w:val="4FB5755A"/>
    <w:rsid w:val="570C2073"/>
    <w:rsid w:val="57CC0FC7"/>
    <w:rsid w:val="5B1B7E19"/>
    <w:rsid w:val="5BA67D81"/>
    <w:rsid w:val="5DAA2D3B"/>
    <w:rsid w:val="5F252E3B"/>
    <w:rsid w:val="60A53BF0"/>
    <w:rsid w:val="6477327A"/>
    <w:rsid w:val="66DD3ED2"/>
    <w:rsid w:val="67314146"/>
    <w:rsid w:val="68C17C57"/>
    <w:rsid w:val="69D00DEB"/>
    <w:rsid w:val="6A4D243B"/>
    <w:rsid w:val="6A8315E0"/>
    <w:rsid w:val="6D1C4462"/>
    <w:rsid w:val="6E4B6F06"/>
    <w:rsid w:val="6EF00DA5"/>
    <w:rsid w:val="72CE1B17"/>
    <w:rsid w:val="7438369D"/>
    <w:rsid w:val="74546E25"/>
    <w:rsid w:val="798B395A"/>
    <w:rsid w:val="7BB544F2"/>
    <w:rsid w:val="7FCE4F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link w:val="11"/>
    <w:qFormat/>
    <w:uiPriority w:val="0"/>
    <w:pPr>
      <w:spacing w:before="100" w:after="100" w:line="540" w:lineRule="exact"/>
      <w:ind w:firstLine="588" w:firstLineChars="200"/>
      <w:outlineLvl w:val="0"/>
    </w:pPr>
    <w:rPr>
      <w:rFonts w:ascii="黑体" w:hAnsi="黑体" w:eastAsia="黑体" w:cs="黑体"/>
      <w:spacing w:val="-3"/>
      <w:sz w:val="30"/>
      <w:szCs w:val="30"/>
      <w:highlight w:val="none"/>
      <w:lang w:eastAsia="zh-CN"/>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1"/>
    <w:semiHidden/>
    <w:qFormat/>
    <w:uiPriority w:val="0"/>
    <w:rPr>
      <w:rFonts w:ascii="微软雅黑" w:hAnsi="微软雅黑" w:eastAsia="微软雅黑" w:cs="微软雅黑"/>
      <w:sz w:val="31"/>
      <w:szCs w:val="31"/>
    </w:rPr>
  </w:style>
  <w:style w:type="paragraph" w:styleId="4">
    <w:name w:val="footer"/>
    <w:basedOn w:val="1"/>
    <w:qFormat/>
    <w:uiPriority w:val="0"/>
    <w:pPr>
      <w:tabs>
        <w:tab w:val="center" w:pos="4153"/>
        <w:tab w:val="right" w:pos="8306"/>
      </w:tabs>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Table Text"/>
    <w:basedOn w:val="1"/>
    <w:semiHidden/>
    <w:qFormat/>
    <w:uiPriority w:val="0"/>
    <w:rPr>
      <w:rFonts w:ascii="宋体" w:hAnsi="宋体" w:eastAsia="宋体" w:cs="宋体"/>
      <w:sz w:val="20"/>
      <w:szCs w:val="20"/>
    </w:rPr>
  </w:style>
  <w:style w:type="table" w:customStyle="1" w:styleId="10">
    <w:name w:val="Table Normal"/>
    <w:semiHidden/>
    <w:unhideWhenUsed/>
    <w:qFormat/>
    <w:uiPriority w:val="0"/>
    <w:tblPr>
      <w:tblCellMar>
        <w:top w:w="0" w:type="dxa"/>
        <w:left w:w="0" w:type="dxa"/>
        <w:bottom w:w="0" w:type="dxa"/>
        <w:right w:w="0" w:type="dxa"/>
      </w:tblCellMar>
    </w:tblPr>
  </w:style>
  <w:style w:type="character" w:customStyle="1" w:styleId="11">
    <w:name w:val="标题 1 Char"/>
    <w:link w:val="2"/>
    <w:qFormat/>
    <w:uiPriority w:val="0"/>
    <w:rPr>
      <w:rFonts w:ascii="黑体" w:hAnsi="黑体" w:eastAsia="黑体" w:cs="黑体"/>
      <w:spacing w:val="-3"/>
      <w:sz w:val="30"/>
      <w:szCs w:val="30"/>
      <w:highlight w:val="none"/>
      <w:lang w:eastAsia="zh-CN"/>
    </w:r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 w:type="paragraph" w:customStyle="1" w:styleId="1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60</Pages>
  <Words>851</Words>
  <Characters>928</Characters>
  <Lines>17</Lines>
  <Paragraphs>5</Paragraphs>
  <TotalTime>12</TotalTime>
  <ScaleCrop>false</ScaleCrop>
  <LinksUpToDate>false</LinksUpToDate>
  <CharactersWithSpaces>972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2024-07-15T01:53:00Z</dcterms:created>
  <dc:creator>卢江鑫</dc:creator>
  <cp:lastModifiedBy>天涯海角</cp:lastModifiedBy>
  <cp:lastPrinted>2024-11-04T06:47:09Z</cp:lastPrinted>
  <dcterms:modified xsi:type="dcterms:W3CDTF">2024-11-04T06:48:56Z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B04103679A0E4D9BA8EE58AD8ECBD66F_13</vt:lpwstr>
  </property>
</Properties>
</file>